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media/image1.jpeg" ContentType="image/jpeg"/>
  <Override PartName="/word/media/image2.png" ContentType="image/png"/>
  <Override PartName="/word/media/image3.jpeg" ContentType="image/jpeg"/>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ITENSDOCONTRATO"/>
        <w:spacing w:lineRule="auto" w:line="276" w:before="57" w:after="57"/>
        <w:ind w:hanging="0" w:left="0"/>
        <w:jc w:val="center"/>
        <w:rPr>
          <w:rFonts w:ascii="Verdana" w:hAnsi="Verdana"/>
          <w:sz w:val="20"/>
          <w:szCs w:val="20"/>
        </w:rPr>
      </w:pPr>
      <w:r>
        <w:rPr>
          <w:rFonts w:ascii="Verdana" w:hAnsi="Verdana"/>
          <w:b/>
          <w:bCs w:val="false"/>
          <w:sz w:val="20"/>
          <w:szCs w:val="20"/>
        </w:rPr>
        <w:t>ANEXO III</w:t>
      </w:r>
    </w:p>
    <w:p>
      <w:pPr>
        <w:pStyle w:val="ITENSDOCONTRATO"/>
        <w:spacing w:lineRule="auto" w:line="276" w:before="57" w:after="57"/>
        <w:ind w:hanging="0" w:left="0"/>
        <w:rPr>
          <w:rFonts w:ascii="Verdana" w:hAnsi="Verdana"/>
          <w:b/>
          <w:bCs w:val="false"/>
          <w:sz w:val="20"/>
          <w:szCs w:val="20"/>
        </w:rPr>
      </w:pPr>
      <w:r>
        <w:rPr>
          <w:rFonts w:ascii="Verdana" w:hAnsi="Verdana"/>
          <w:b/>
          <w:bCs w:val="false"/>
          <w:sz w:val="20"/>
          <w:szCs w:val="20"/>
        </w:rPr>
      </w:r>
    </w:p>
    <w:p>
      <w:pPr>
        <w:pStyle w:val="Normal"/>
        <w:widowControl w:val="false"/>
        <w:spacing w:lineRule="auto" w:line="276" w:before="57" w:after="57"/>
        <w:ind w:hanging="0" w:left="0"/>
        <w:jc w:val="right"/>
        <w:rPr>
          <w:rFonts w:ascii="Verdana" w:hAnsi="Verdana"/>
          <w:sz w:val="20"/>
          <w:szCs w:val="20"/>
        </w:rPr>
      </w:pPr>
      <w:r>
        <w:rPr>
          <w:rFonts w:cs="Verdana" w:ascii="Verdana" w:hAnsi="Verdana"/>
          <w:b/>
          <w:sz w:val="20"/>
          <w:szCs w:val="20"/>
        </w:rPr>
        <w:t>MINUTA DE CONTRATO PARA PRESTAÇÃO DE SERVIÇOS Nº ___.</w:t>
      </w:r>
    </w:p>
    <w:p>
      <w:pPr>
        <w:pStyle w:val="Normal"/>
        <w:spacing w:lineRule="auto" w:line="276" w:before="57" w:after="57"/>
        <w:ind w:hanging="0" w:left="0"/>
        <w:jc w:val="both"/>
        <w:rPr>
          <w:rFonts w:ascii="Verdana" w:hAnsi="Verdana"/>
          <w:sz w:val="20"/>
          <w:szCs w:val="20"/>
        </w:rPr>
      </w:pPr>
      <w:r>
        <w:rPr>
          <w:rFonts w:cs="Verdana" w:ascii="Verdana" w:hAnsi="Verdana"/>
          <w:b/>
          <w:sz w:val="20"/>
          <w:szCs w:val="20"/>
          <w:u w:val="single"/>
        </w:rPr>
        <w:t>PREÂMBULO</w:t>
      </w:r>
    </w:p>
    <w:p>
      <w:pPr>
        <w:pStyle w:val="Normal"/>
        <w:spacing w:lineRule="auto" w:line="276" w:before="0" w:after="0"/>
        <w:jc w:val="both"/>
        <w:rPr>
          <w:rFonts w:ascii="Verdana" w:hAnsi="Verdana"/>
          <w:sz w:val="20"/>
          <w:szCs w:val="20"/>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_______________, estabelecida à _____________ doravante denominada simplesmente CONTRATADA.</w:t>
      </w:r>
    </w:p>
    <w:p>
      <w:pPr>
        <w:pStyle w:val="Normal"/>
        <w:tabs>
          <w:tab w:val="clear" w:pos="708"/>
          <w:tab w:val="left" w:pos="0" w:leader="none"/>
        </w:tabs>
        <w:spacing w:lineRule="auto" w:line="276" w:before="0" w:after="0"/>
        <w:jc w:val="both"/>
        <w:rPr>
          <w:rFonts w:ascii="Verdana" w:hAnsi="Verdana"/>
          <w:sz w:val="20"/>
          <w:szCs w:val="20"/>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________ do ano de 2025.</w:t>
      </w:r>
    </w:p>
    <w:p>
      <w:pPr>
        <w:pStyle w:val="Normal"/>
        <w:tabs>
          <w:tab w:val="clear" w:pos="708"/>
          <w:tab w:val="left" w:pos="0" w:leader="none"/>
        </w:tabs>
        <w:spacing w:lineRule="auto" w:line="276" w:before="0" w:after="0"/>
        <w:jc w:val="both"/>
        <w:rPr>
          <w:rFonts w:ascii="Verdana" w:hAnsi="Verdana"/>
          <w:sz w:val="20"/>
          <w:szCs w:val="20"/>
        </w:rPr>
      </w:pPr>
      <w:r>
        <w:rPr>
          <w:rFonts w:cs="Verdana" w:ascii="Verdana" w:hAnsi="Verdana"/>
          <w:b/>
          <w:sz w:val="20"/>
          <w:szCs w:val="20"/>
        </w:rPr>
        <w:t>c) REPRESENTANTES</w:t>
      </w:r>
      <w:r>
        <w:rPr>
          <w:rFonts w:cs="Verdana" w:ascii="Verdana" w:hAnsi="Verdana"/>
          <w:sz w:val="20"/>
          <w:szCs w:val="20"/>
        </w:rPr>
        <w:t>: Representa o CONTRATANTE, o Senhor _______________, Prefeito Municipal, brasileiro, casado, residente na __________, nesta cidade, inscrito no CPF/MF sob o n.º _______ e a CONTRATADA _______________.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sz w:val="20"/>
          <w:szCs w:val="20"/>
        </w:rPr>
      </w:pPr>
      <w:r>
        <w:rPr>
          <w:rFonts w:eastAsia="Times New Roman" w:cs="Verdana" w:ascii="Verdana" w:hAnsi="Verdana"/>
          <w:b/>
          <w:color w:val="000000"/>
          <w:sz w:val="20"/>
          <w:szCs w:val="20"/>
        </w:rPr>
        <w:t>d) FUNDAMENTO</w:t>
      </w:r>
      <w:r>
        <w:rPr>
          <w:rFonts w:eastAsia="Times New Roman" w:cs="Verdana" w:ascii="Verdana" w:hAnsi="Verdana"/>
          <w:color w:val="000000"/>
          <w:sz w:val="20"/>
          <w:szCs w:val="20"/>
        </w:rPr>
        <w:t xml:space="preserve">: O presente contrato tem como fundamento a Lei 14.133 de 01/04/2021, suas alterações, </w:t>
      </w:r>
      <w:r>
        <w:rPr>
          <w:rFonts w:eastAsia="Batang;바탕" w:cs="Verdana" w:ascii="Verdana" w:hAnsi="Verdana"/>
          <w:b/>
          <w:bCs/>
          <w:color w:val="000000"/>
          <w:sz w:val="20"/>
          <w:szCs w:val="20"/>
        </w:rPr>
        <w:t xml:space="preserve">Processo Administrativo nº 2838/2025 de 11/04/2025, </w:t>
      </w:r>
      <w:r>
        <w:rPr>
          <w:rFonts w:eastAsia="Times New Roman" w:cs="Verdana" w:ascii="Verdana" w:hAnsi="Verdana"/>
          <w:b/>
          <w:bCs/>
          <w:color w:val="000000"/>
          <w:sz w:val="20"/>
          <w:szCs w:val="20"/>
        </w:rPr>
        <w:t>Pregão Eletrônico nº 022/2025</w:t>
      </w:r>
      <w:r>
        <w:rPr>
          <w:rFonts w:eastAsia="Batang;바탕" w:cs="Verdana" w:ascii="Verdana" w:hAnsi="Verdana"/>
          <w:b/>
          <w:bCs/>
          <w:color w:val="000000"/>
          <w:sz w:val="20"/>
          <w:szCs w:val="20"/>
        </w:rPr>
        <w:t xml:space="preserve"> de 23/04/2025</w:t>
      </w:r>
      <w:r>
        <w:rPr>
          <w:rFonts w:eastAsia="Times New Roman" w:cs="Verdana" w:ascii="Verdana" w:hAnsi="Verdana"/>
          <w:color w:val="000000"/>
          <w:sz w:val="20"/>
          <w:szCs w:val="20"/>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sz w:val="20"/>
          <w:szCs w:val="20"/>
        </w:rPr>
      </w:pPr>
      <w:r>
        <w:rPr>
          <w:rFonts w:ascii="Verdana" w:hAnsi="Verdana"/>
          <w:sz w:val="20"/>
          <w:szCs w:val="20"/>
        </w:rPr>
      </w:r>
    </w:p>
    <w:p>
      <w:pPr>
        <w:pStyle w:val="CLUSULA"/>
        <w:spacing w:lineRule="auto" w:line="276" w:before="57" w:after="57"/>
        <w:ind w:hanging="0" w:left="0"/>
        <w:rPr>
          <w:rFonts w:ascii="Verdana" w:hAnsi="Verdana"/>
          <w:sz w:val="20"/>
          <w:szCs w:val="20"/>
        </w:rPr>
      </w:pPr>
      <w:r>
        <w:rPr>
          <w:rFonts w:ascii="Verdana" w:hAnsi="Verdana"/>
          <w:sz w:val="20"/>
          <w:szCs w:val="20"/>
        </w:rPr>
        <w:t>CLÁUSULA PRIMEIRA – DO OBJETO</w:t>
      </w:r>
    </w:p>
    <w:p>
      <w:pPr>
        <w:pStyle w:val="Normal"/>
        <w:jc w:val="both"/>
        <w:rPr>
          <w:rFonts w:ascii="Verdana" w:hAnsi="Verdana"/>
          <w:sz w:val="20"/>
          <w:szCs w:val="20"/>
        </w:rPr>
      </w:pPr>
      <w:r>
        <w:rPr>
          <w:rFonts w:ascii="Verdana" w:hAnsi="Verdana"/>
          <w:sz w:val="20"/>
          <w:szCs w:val="20"/>
        </w:rPr>
        <w:t>1.1. O Objeto da presente é Contratação de empresa especializada e capacitada para realização de serviços de manutenção preventiva e corretiva em equipamentos odontológicos, com substituição de peças sem ônus adicionais para a Secretaria Municipal de Saúde.</w:t>
      </w:r>
    </w:p>
    <w:p>
      <w:pPr>
        <w:pStyle w:val="Normal"/>
        <w:jc w:val="both"/>
        <w:rPr>
          <w:rFonts w:ascii="Verdana" w:hAnsi="Verdana"/>
          <w:sz w:val="20"/>
          <w:szCs w:val="20"/>
        </w:rPr>
      </w:pPr>
      <w:r>
        <w:rPr>
          <w:rFonts w:ascii="Verdana" w:hAnsi="Verdana"/>
          <w:sz w:val="20"/>
          <w:szCs w:val="20"/>
        </w:rPr>
        <w:t>1.2 Os serviços serão executados considerando as seguintes descrições:</w:t>
      </w:r>
    </w:p>
    <w:tbl>
      <w:tblPr>
        <w:tblW w:w="9345" w:type="dxa"/>
        <w:jc w:val="left"/>
        <w:tblInd w:w="-21" w:type="dxa"/>
        <w:tblLayout w:type="fixed"/>
        <w:tblCellMar>
          <w:top w:w="0" w:type="dxa"/>
          <w:left w:w="108" w:type="dxa"/>
          <w:bottom w:w="0" w:type="dxa"/>
          <w:right w:w="108" w:type="dxa"/>
        </w:tblCellMar>
        <w:tblLook w:firstRow="1" w:noVBand="1" w:lastRow="0" w:firstColumn="1" w:lastColumn="0" w:noHBand="0" w:val="04a0"/>
      </w:tblPr>
      <w:tblGrid>
        <w:gridCol w:w="1140"/>
        <w:gridCol w:w="3105"/>
        <w:gridCol w:w="854"/>
        <w:gridCol w:w="1125"/>
        <w:gridCol w:w="1534"/>
        <w:gridCol w:w="1586"/>
      </w:tblGrid>
      <w:tr>
        <w:trPr>
          <w:trHeight w:val="330" w:hRule="atLeast"/>
        </w:trPr>
        <w:tc>
          <w:tcPr>
            <w:tcW w:w="1140"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pPr>
            <w:r>
              <w:rPr>
                <w:rFonts w:cs="Verdana" w:ascii="Verdana" w:hAnsi="Verdana"/>
                <w:b/>
                <w:sz w:val="20"/>
                <w:szCs w:val="20"/>
              </w:rPr>
              <w:t>LOTES</w:t>
            </w:r>
          </w:p>
        </w:tc>
        <w:tc>
          <w:tcPr>
            <w:tcW w:w="310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pPr>
            <w:r>
              <w:rPr>
                <w:rFonts w:cs="Verdana" w:ascii="Verdana" w:hAnsi="Verdana"/>
                <w:b/>
                <w:sz w:val="20"/>
                <w:szCs w:val="20"/>
              </w:rPr>
              <w:t>ESPECIFICAÇÃO</w:t>
            </w:r>
          </w:p>
        </w:tc>
        <w:tc>
          <w:tcPr>
            <w:tcW w:w="854"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pPr>
            <w:r>
              <w:rPr>
                <w:rFonts w:cs="Verdana" w:ascii="Verdana" w:hAnsi="Verdana"/>
                <w:b/>
                <w:sz w:val="20"/>
                <w:szCs w:val="20"/>
              </w:rPr>
              <w:t>UND.</w:t>
            </w:r>
          </w:p>
        </w:tc>
        <w:tc>
          <w:tcPr>
            <w:tcW w:w="1125"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pPr>
            <w:r>
              <w:rPr>
                <w:rFonts w:cs="Verdana" w:ascii="Verdana" w:hAnsi="Verdana"/>
                <w:b/>
                <w:sz w:val="20"/>
                <w:szCs w:val="20"/>
              </w:rPr>
              <w:t>QUANT.</w:t>
            </w:r>
          </w:p>
        </w:tc>
        <w:tc>
          <w:tcPr>
            <w:tcW w:w="1534"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pPr>
            <w:r>
              <w:rPr>
                <w:rFonts w:cs="Verdana" w:ascii="Verdana" w:hAnsi="Verdana"/>
                <w:b/>
                <w:sz w:val="20"/>
                <w:szCs w:val="20"/>
              </w:rPr>
              <w:t>VALOR ESTIMADO UNITÁRIO</w:t>
            </w:r>
          </w:p>
        </w:tc>
        <w:tc>
          <w:tcPr>
            <w:tcW w:w="15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pPr>
            <w:r>
              <w:rPr>
                <w:rFonts w:cs="Verdana" w:ascii="Verdana" w:hAnsi="Verdana"/>
                <w:b/>
                <w:sz w:val="20"/>
                <w:szCs w:val="20"/>
              </w:rPr>
              <w:t>VALOR ESTIMADO TOTAL</w:t>
            </w:r>
          </w:p>
        </w:tc>
      </w:tr>
      <w:tr>
        <w:trPr>
          <w:trHeight w:val="386" w:hRule="atLeast"/>
        </w:trPr>
        <w:tc>
          <w:tcPr>
            <w:tcW w:w="1140" w:type="dxa"/>
            <w:tcBorders>
              <w:top w:val="single" w:sz="4" w:space="0" w:color="000000"/>
              <w:left w:val="single" w:sz="4" w:space="0" w:color="000000"/>
              <w:bottom w:val="single" w:sz="4" w:space="0" w:color="000000"/>
            </w:tcBorders>
          </w:tcPr>
          <w:p>
            <w:pPr>
              <w:pStyle w:val="Normal"/>
              <w:widowControl w:val="false"/>
              <w:spacing w:lineRule="auto" w:line="240" w:before="0" w:after="0"/>
              <w:jc w:val="center"/>
              <w:rPr>
                <w:rFonts w:ascii="Verdana" w:hAnsi="Verdana" w:cs="Verdana"/>
                <w:b/>
                <w:bCs/>
                <w:sz w:val="20"/>
                <w:szCs w:val="20"/>
              </w:rPr>
            </w:pPr>
            <w:r>
              <w:rPr>
                <w:rFonts w:cs="Verdana" w:ascii="Verdana" w:hAnsi="Verdana"/>
                <w:b/>
                <w:bCs/>
                <w:sz w:val="20"/>
                <w:szCs w:val="20"/>
              </w:rPr>
            </w:r>
          </w:p>
        </w:tc>
        <w:tc>
          <w:tcPr>
            <w:tcW w:w="3105" w:type="dxa"/>
            <w:tcBorders>
              <w:top w:val="single" w:sz="4" w:space="0" w:color="000000"/>
              <w:left w:val="single" w:sz="4" w:space="0" w:color="000000"/>
              <w:bottom w:val="single" w:sz="4" w:space="0" w:color="000000"/>
            </w:tcBorders>
          </w:tcPr>
          <w:p>
            <w:pPr>
              <w:pStyle w:val="Normal"/>
              <w:widowControl w:val="false"/>
              <w:spacing w:lineRule="auto" w:line="240" w:before="0" w:after="0"/>
              <w:jc w:val="both"/>
              <w:rPr>
                <w:rFonts w:ascii="Verdana" w:hAnsi="Verdana" w:cs="Verdana"/>
                <w:b/>
                <w:sz w:val="20"/>
                <w:szCs w:val="20"/>
              </w:rPr>
            </w:pPr>
            <w:r>
              <w:rPr>
                <w:rFonts w:cs="Verdana" w:ascii="Verdana" w:hAnsi="Verdana"/>
                <w:b/>
                <w:sz w:val="20"/>
                <w:szCs w:val="20"/>
              </w:rPr>
            </w:r>
          </w:p>
        </w:tc>
        <w:tc>
          <w:tcPr>
            <w:tcW w:w="854" w:type="dxa"/>
            <w:tcBorders>
              <w:top w:val="single" w:sz="4" w:space="0" w:color="000000"/>
              <w:left w:val="single" w:sz="4" w:space="0" w:color="000000"/>
              <w:bottom w:val="single" w:sz="4" w:space="0" w:color="000000"/>
            </w:tcBorders>
          </w:tcPr>
          <w:p>
            <w:pPr>
              <w:pStyle w:val="Normal"/>
              <w:widowControl w:val="false"/>
              <w:spacing w:lineRule="auto" w:line="240" w:before="0" w:after="0"/>
              <w:jc w:val="both"/>
              <w:rPr>
                <w:rFonts w:ascii="Verdana" w:hAnsi="Verdana" w:cs="Verdana"/>
                <w:b/>
                <w:sz w:val="20"/>
                <w:szCs w:val="20"/>
              </w:rPr>
            </w:pPr>
            <w:r>
              <w:rPr>
                <w:rFonts w:cs="Verdana" w:ascii="Verdana" w:hAnsi="Verdana"/>
                <w:b/>
                <w:sz w:val="20"/>
                <w:szCs w:val="20"/>
              </w:rPr>
            </w:r>
          </w:p>
        </w:tc>
        <w:tc>
          <w:tcPr>
            <w:tcW w:w="1125" w:type="dxa"/>
            <w:tcBorders>
              <w:top w:val="single" w:sz="4" w:space="0" w:color="000000"/>
              <w:left w:val="single" w:sz="4" w:space="0" w:color="000000"/>
              <w:bottom w:val="single" w:sz="4" w:space="0" w:color="000000"/>
            </w:tcBorders>
          </w:tcPr>
          <w:p>
            <w:pPr>
              <w:pStyle w:val="Normal"/>
              <w:widowControl w:val="false"/>
              <w:spacing w:lineRule="auto" w:line="240" w:before="0" w:after="0"/>
              <w:jc w:val="both"/>
              <w:rPr>
                <w:rFonts w:ascii="Verdana" w:hAnsi="Verdana" w:cs="Verdana"/>
                <w:b/>
                <w:sz w:val="20"/>
                <w:szCs w:val="20"/>
              </w:rPr>
            </w:pPr>
            <w:r>
              <w:rPr>
                <w:rFonts w:cs="Verdana" w:ascii="Verdana" w:hAnsi="Verdana"/>
                <w:b/>
                <w:sz w:val="20"/>
                <w:szCs w:val="20"/>
              </w:rPr>
            </w:r>
          </w:p>
        </w:tc>
        <w:tc>
          <w:tcPr>
            <w:tcW w:w="1534" w:type="dxa"/>
            <w:tcBorders>
              <w:top w:val="single" w:sz="4" w:space="0" w:color="000000"/>
              <w:left w:val="single" w:sz="4" w:space="0" w:color="000000"/>
              <w:bottom w:val="single" w:sz="4" w:space="0" w:color="000000"/>
            </w:tcBorders>
          </w:tcPr>
          <w:p>
            <w:pPr>
              <w:pStyle w:val="Normal"/>
              <w:widowControl w:val="false"/>
              <w:spacing w:lineRule="auto" w:line="240" w:before="0" w:after="0"/>
              <w:jc w:val="both"/>
              <w:rPr>
                <w:rFonts w:ascii="Verdana" w:hAnsi="Verdana" w:cs="Verdana"/>
                <w:b/>
                <w:sz w:val="20"/>
                <w:szCs w:val="20"/>
              </w:rPr>
            </w:pPr>
            <w:r>
              <w:rPr>
                <w:rFonts w:cs="Verdana" w:ascii="Verdana" w:hAnsi="Verdana"/>
                <w:b/>
                <w:sz w:val="20"/>
                <w:szCs w:val="20"/>
              </w:rPr>
            </w:r>
          </w:p>
        </w:tc>
        <w:tc>
          <w:tcPr>
            <w:tcW w:w="15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Verdana" w:hAnsi="Verdana" w:cs="Verdana"/>
                <w:b/>
                <w:sz w:val="20"/>
                <w:szCs w:val="20"/>
              </w:rPr>
            </w:pPr>
            <w:r>
              <w:rPr>
                <w:rFonts w:cs="Verdana" w:ascii="Verdana" w:hAnsi="Verdana"/>
                <w:b/>
                <w:sz w:val="20"/>
                <w:szCs w:val="20"/>
              </w:rPr>
            </w:r>
          </w:p>
        </w:tc>
      </w:tr>
    </w:tbl>
    <w:p>
      <w:pPr>
        <w:pStyle w:val="Normal"/>
        <w:spacing w:lineRule="auto" w:line="276" w:before="57" w:after="57"/>
        <w:ind w:right="0"/>
        <w:jc w:val="both"/>
        <w:rPr>
          <w:rFonts w:ascii="Verdana" w:hAnsi="Verdana" w:cs="Verdana"/>
          <w:sz w:val="20"/>
          <w:szCs w:val="20"/>
        </w:rPr>
      </w:pPr>
      <w:r>
        <w:rPr>
          <w:rFonts w:cs="Verdana"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SEGUNDA – MODELO DE EXECUÇÃO CONTRATUAL:</w:t>
      </w:r>
    </w:p>
    <w:p>
      <w:pPr>
        <w:pStyle w:val="Normal"/>
        <w:spacing w:lineRule="auto" w:line="276" w:before="57" w:after="57"/>
        <w:ind w:right="0"/>
        <w:jc w:val="both"/>
        <w:rPr>
          <w:rFonts w:ascii="Verdana" w:hAnsi="Verdana" w:cs="Verdana"/>
          <w:b/>
          <w:bCs/>
          <w:sz w:val="20"/>
          <w:szCs w:val="20"/>
        </w:rPr>
      </w:pPr>
      <w:r>
        <w:rPr>
          <w:rFonts w:cs="Verdana" w:ascii="Verdana" w:hAnsi="Verdana"/>
          <w:b/>
          <w:bCs/>
          <w:sz w:val="20"/>
          <w:szCs w:val="20"/>
        </w:rPr>
        <w:t>2.1 PRAZO DE ENTREGA: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2.1.1 A CONTRATADA deverá executar os serviços por um período de 01 (um) ano contados a partir da Assinatura do Contrato e perante Autorização de fornecimento emitida pelo Setor de Compras da Secretaria Municipal de Saúde.</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2.1.2. A CONTRATADA deverá proceder com a solicitação de pagamento de forma mensal, devendo apresentar no ato do protocolo de pagamento todos os serviços realizados (visitas) devidamente assinadas pelo setor requisitante, demonstrando clareza aos serviços prestados, para que o fiscal de contrato possa realizar a fiscalização de forme segura, evitando transtornos administrativos por ambas as partes.</w:t>
      </w:r>
    </w:p>
    <w:p>
      <w:pPr>
        <w:pStyle w:val="Normal"/>
        <w:spacing w:lineRule="auto" w:line="276" w:before="57" w:after="57"/>
        <w:ind w:right="0"/>
        <w:jc w:val="both"/>
        <w:rPr>
          <w:rFonts w:ascii="Verdana" w:hAnsi="Verdana" w:cs="Verdana"/>
          <w:b/>
          <w:bCs/>
          <w:sz w:val="20"/>
          <w:szCs w:val="20"/>
        </w:rPr>
      </w:pPr>
      <w:r>
        <w:rPr>
          <w:rFonts w:cs="Verdana" w:ascii="Verdana" w:hAnsi="Verdana"/>
          <w:b/>
          <w:bCs/>
          <w:sz w:val="20"/>
          <w:szCs w:val="20"/>
        </w:rPr>
        <w:t>2.2 DO LOCAL DE ENTREGA: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2.2.1 A execução dos serviços deverá ser realizadas nas Unidades Básicas de Saúde que possuem os atendimentos odontológicos, conforme demonstrado no ETP, sendo eles:</w:t>
      </w:r>
    </w:p>
    <w:p>
      <w:pPr>
        <w:pStyle w:val="Normal"/>
        <w:widowControl/>
        <w:numPr>
          <w:ilvl w:val="0"/>
          <w:numId w:val="9"/>
        </w:numPr>
        <w:suppressAutoHyphens w:val="true"/>
        <w:overflowPunct w:val="false"/>
        <w:bidi w:val="0"/>
        <w:spacing w:lineRule="auto" w:line="276" w:before="57" w:after="57"/>
        <w:jc w:val="both"/>
        <w:rPr>
          <w:rFonts w:ascii="Verdana" w:hAnsi="Verdana"/>
          <w:sz w:val="20"/>
          <w:szCs w:val="20"/>
        </w:rPr>
      </w:pPr>
      <w:r>
        <w:rPr>
          <w:rFonts w:cs="Verdana" w:ascii="Verdana" w:hAnsi="Verdana"/>
          <w:b/>
          <w:bCs/>
          <w:sz w:val="20"/>
          <w:szCs w:val="20"/>
        </w:rPr>
        <w:t>Poli Clínica da Secretaria Municipal de Saúde</w:t>
      </w:r>
      <w:r>
        <w:rPr>
          <w:rFonts w:cs="Verdana" w:ascii="Verdana" w:hAnsi="Verdana"/>
          <w:sz w:val="20"/>
          <w:szCs w:val="20"/>
        </w:rPr>
        <w:t>, localizada na Rua Drº Fernando Serra, Bairro Jardim da Infância –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Estratégia</w:t>
      </w:r>
      <w:r>
        <w:rPr>
          <w:rFonts w:cs="Verdana" w:ascii="Verdana" w:hAnsi="Verdana"/>
          <w:b/>
          <w:bCs/>
          <w:sz w:val="20"/>
          <w:szCs w:val="20"/>
        </w:rPr>
        <w:t xml:space="preserve"> de Saúde da Família do Bairro Progresso –</w:t>
      </w:r>
      <w:r>
        <w:rPr>
          <w:rFonts w:cs="Verdana" w:ascii="Verdana" w:hAnsi="Verdana"/>
          <w:sz w:val="20"/>
          <w:szCs w:val="20"/>
        </w:rPr>
        <w:t xml:space="preserve">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Estratégia</w:t>
      </w:r>
      <w:r>
        <w:rPr>
          <w:rFonts w:cs="Verdana" w:ascii="Verdana" w:hAnsi="Verdana"/>
          <w:b/>
          <w:bCs/>
          <w:sz w:val="20"/>
          <w:szCs w:val="20"/>
        </w:rPr>
        <w:t xml:space="preserve"> de Saúde da Família do Bairro Cachoeira da Onça</w:t>
      </w:r>
      <w:r>
        <w:rPr>
          <w:rFonts w:cs="Verdana" w:ascii="Verdana" w:hAnsi="Verdana"/>
          <w:sz w:val="20"/>
          <w:szCs w:val="20"/>
        </w:rPr>
        <w:t xml:space="preserve"> –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Estratégia</w:t>
      </w:r>
      <w:r>
        <w:rPr>
          <w:rFonts w:cs="Verdana" w:ascii="Verdana" w:hAnsi="Verdana"/>
          <w:b/>
          <w:bCs/>
          <w:sz w:val="20"/>
          <w:szCs w:val="20"/>
        </w:rPr>
        <w:t xml:space="preserve"> de Saúde da Família do Boa Vista</w:t>
      </w:r>
      <w:r>
        <w:rPr>
          <w:rFonts w:cs="Verdana" w:ascii="Verdana" w:hAnsi="Verdana"/>
          <w:sz w:val="20"/>
          <w:szCs w:val="20"/>
        </w:rPr>
        <w:t xml:space="preserve"> –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Estratégia</w:t>
      </w:r>
      <w:r>
        <w:rPr>
          <w:rFonts w:cs="Verdana" w:ascii="Verdana" w:hAnsi="Verdana"/>
          <w:b/>
          <w:bCs/>
          <w:sz w:val="20"/>
          <w:szCs w:val="20"/>
        </w:rPr>
        <w:t xml:space="preserve"> de Saúde da Família do Vila Comboni</w:t>
      </w:r>
      <w:r>
        <w:rPr>
          <w:rFonts w:cs="Verdana" w:ascii="Verdana" w:hAnsi="Verdana"/>
          <w:sz w:val="20"/>
          <w:szCs w:val="20"/>
        </w:rPr>
        <w:t xml:space="preserve"> –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cs="Verdana" w:ascii="Verdana" w:hAnsi="Verdana"/>
          <w:b/>
          <w:bCs/>
          <w:sz w:val="20"/>
          <w:szCs w:val="20"/>
        </w:rPr>
        <w:t>Estratégia de Saúde da Família de Vila Fartura</w:t>
      </w:r>
      <w:r>
        <w:rPr>
          <w:rFonts w:cs="Verdana" w:ascii="Verdana" w:hAnsi="Verdana"/>
          <w:sz w:val="20"/>
          <w:szCs w:val="20"/>
        </w:rPr>
        <w:t xml:space="preserve"> –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Estratégia</w:t>
      </w:r>
      <w:r>
        <w:rPr>
          <w:rFonts w:cs="Verdana" w:ascii="Verdana" w:hAnsi="Verdana"/>
          <w:b/>
          <w:bCs/>
          <w:sz w:val="20"/>
          <w:szCs w:val="20"/>
        </w:rPr>
        <w:t xml:space="preserve"> de Saúde da Família São Roque da Terra Roxa</w:t>
      </w:r>
      <w:r>
        <w:rPr>
          <w:rFonts w:cs="Verdana" w:ascii="Verdana" w:hAnsi="Verdana"/>
          <w:sz w:val="20"/>
          <w:szCs w:val="20"/>
        </w:rPr>
        <w:t xml:space="preserve"> –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Unidade</w:t>
      </w:r>
      <w:r>
        <w:rPr>
          <w:rFonts w:cs="Verdana" w:ascii="Verdana" w:hAnsi="Verdana"/>
          <w:b/>
          <w:bCs/>
          <w:sz w:val="20"/>
          <w:szCs w:val="20"/>
        </w:rPr>
        <w:t xml:space="preserve"> Básica de Saúde São José</w:t>
      </w:r>
      <w:r>
        <w:rPr>
          <w:rFonts w:cs="Verdana" w:ascii="Verdana" w:hAnsi="Verdana"/>
          <w:sz w:val="20"/>
          <w:szCs w:val="20"/>
        </w:rPr>
        <w:t xml:space="preserve"> – Interior do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Unidade</w:t>
      </w:r>
      <w:r>
        <w:rPr>
          <w:rFonts w:cs="Verdana" w:ascii="Verdana" w:hAnsi="Verdana"/>
          <w:b/>
          <w:bCs/>
          <w:sz w:val="20"/>
          <w:szCs w:val="20"/>
        </w:rPr>
        <w:t xml:space="preserve"> Básica de Saúde Rancho Alto</w:t>
      </w:r>
      <w:r>
        <w:rPr>
          <w:rFonts w:cs="Verdana" w:ascii="Verdana" w:hAnsi="Verdana"/>
          <w:sz w:val="20"/>
          <w:szCs w:val="20"/>
        </w:rPr>
        <w:t xml:space="preserve"> – Interior do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Unidade</w:t>
      </w:r>
      <w:r>
        <w:rPr>
          <w:rFonts w:cs="Verdana" w:ascii="Verdana" w:hAnsi="Verdana"/>
          <w:b/>
          <w:bCs/>
          <w:sz w:val="20"/>
          <w:szCs w:val="20"/>
        </w:rPr>
        <w:t xml:space="preserve"> Básica de Saúde São Sebastião do Barra Seca</w:t>
      </w:r>
      <w:r>
        <w:rPr>
          <w:rFonts w:cs="Verdana" w:ascii="Verdana" w:hAnsi="Verdana"/>
          <w:sz w:val="20"/>
          <w:szCs w:val="20"/>
        </w:rPr>
        <w:t xml:space="preserve"> – Interior do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eastAsia="OpenSymbol" w:cs="OpenSymbol" w:ascii="Verdana" w:hAnsi="Verdana"/>
          <w:b/>
          <w:bCs/>
          <w:sz w:val="20"/>
          <w:szCs w:val="20"/>
        </w:rPr>
        <w:t>Unidade</w:t>
      </w:r>
      <w:r>
        <w:rPr>
          <w:rFonts w:cs="Verdana" w:ascii="Verdana" w:hAnsi="Verdana"/>
          <w:b/>
          <w:bCs/>
          <w:sz w:val="20"/>
          <w:szCs w:val="20"/>
        </w:rPr>
        <w:t xml:space="preserve"> Básica de Saúde Córrego Bley</w:t>
      </w:r>
      <w:r>
        <w:rPr>
          <w:rFonts w:cs="Verdana" w:ascii="Verdana" w:hAnsi="Verdana"/>
          <w:sz w:val="20"/>
          <w:szCs w:val="20"/>
        </w:rPr>
        <w:t xml:space="preserve"> – Interior do Município de São Gabriel da Palha ES;</w:t>
      </w:r>
    </w:p>
    <w:p>
      <w:pPr>
        <w:pStyle w:val="Normal"/>
        <w:numPr>
          <w:ilvl w:val="0"/>
          <w:numId w:val="9"/>
        </w:numPr>
        <w:suppressAutoHyphens w:val="true"/>
        <w:overflowPunct w:val="false"/>
        <w:spacing w:before="57" w:after="57"/>
        <w:jc w:val="both"/>
        <w:rPr>
          <w:rFonts w:ascii="Verdana" w:hAnsi="Verdana"/>
          <w:sz w:val="20"/>
          <w:szCs w:val="20"/>
        </w:rPr>
      </w:pPr>
      <w:r>
        <w:rPr>
          <w:rFonts w:cs="Verdana" w:ascii="Verdana" w:hAnsi="Verdana"/>
          <w:b/>
          <w:bCs/>
          <w:sz w:val="20"/>
          <w:szCs w:val="20"/>
        </w:rPr>
        <w:t xml:space="preserve"> </w:t>
      </w:r>
      <w:r>
        <w:rPr>
          <w:rFonts w:eastAsia="OpenSymbol" w:cs="OpenSymbol" w:ascii="Verdana" w:hAnsi="Verdana"/>
          <w:b/>
          <w:bCs/>
          <w:sz w:val="20"/>
          <w:szCs w:val="20"/>
        </w:rPr>
        <w:t>Unidade</w:t>
      </w:r>
      <w:r>
        <w:rPr>
          <w:rFonts w:cs="Verdana" w:ascii="Verdana" w:hAnsi="Verdana"/>
          <w:b/>
          <w:bCs/>
          <w:sz w:val="20"/>
          <w:szCs w:val="20"/>
        </w:rPr>
        <w:t xml:space="preserve"> Básica de Saúde Castelan</w:t>
      </w:r>
      <w:r>
        <w:rPr>
          <w:rFonts w:cs="Verdana" w:ascii="Verdana" w:hAnsi="Verdana"/>
          <w:sz w:val="20"/>
          <w:szCs w:val="20"/>
        </w:rPr>
        <w:t xml:space="preserve"> – Interior do Município de São Gabriel da Palha ES;</w:t>
      </w:r>
    </w:p>
    <w:p>
      <w:pPr>
        <w:pStyle w:val="PargrafodaLista"/>
        <w:widowControl/>
        <w:suppressAutoHyphens w:val="true"/>
        <w:overflowPunct w:val="false"/>
        <w:bidi w:val="0"/>
        <w:spacing w:before="57" w:after="57"/>
        <w:ind w:hanging="0" w:left="0" w:right="0"/>
        <w:contextualSpacing w:val="false"/>
        <w:jc w:val="both"/>
        <w:rPr/>
      </w:pPr>
      <w:r>
        <w:rPr/>
        <w:t>Os horários das visitas corretivas e preventivas devem ser administradas de acordo com o horário de funcionamento de cada estabelecimento, para que o setor possa acompanhar os serviços com a CONTRATADA.</w:t>
      </w:r>
    </w:p>
    <w:p>
      <w:pPr>
        <w:pStyle w:val="Normal"/>
        <w:spacing w:before="57" w:after="57"/>
        <w:ind w:hanging="0" w:left="0" w:right="0"/>
        <w:jc w:val="both"/>
        <w:rPr>
          <w:rFonts w:ascii="Verdana" w:hAnsi="Verdana" w:cs="Verdana"/>
          <w:sz w:val="20"/>
          <w:szCs w:val="20"/>
          <w:u w:val="none"/>
        </w:rPr>
      </w:pPr>
      <w:r>
        <w:rPr>
          <w:rFonts w:cs="Verdana" w:ascii="Verdana" w:hAnsi="Verdana"/>
          <w:b/>
          <w:sz w:val="20"/>
          <w:szCs w:val="20"/>
          <w:u w:val="none"/>
        </w:rPr>
        <w:t>2.3. DA EXECUÇÃO DOS SERVIÇOS E FORNECIMENTO DE PEÇAS:</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2.31</w:t>
      </w:r>
      <w:r>
        <w:rPr>
          <w:rFonts w:cs="Verdana" w:ascii="Verdana" w:hAnsi="Verdana"/>
          <w:sz w:val="20"/>
          <w:szCs w:val="20"/>
        </w:rPr>
        <w:t>. Os serviços de manutenção preventiva são procedimentos adotados com o objetivo de otimizar a utilização dos equipamentos, reduzindo o desgaste de uso, evitando a danificação, interrupção ou suspensão do funcionamento dos mesmos.</w:t>
      </w:r>
    </w:p>
    <w:p>
      <w:pPr>
        <w:pStyle w:val="PargrafodaLista"/>
        <w:widowControl/>
        <w:suppressAutoHyphens w:val="true"/>
        <w:overflowPunct w:val="false"/>
        <w:bidi w:val="0"/>
        <w:spacing w:before="57" w:after="57"/>
        <w:ind w:hanging="0" w:left="0" w:right="0"/>
        <w:contextualSpacing w:val="false"/>
        <w:jc w:val="both"/>
        <w:rPr/>
      </w:pPr>
      <w:r>
        <w:rPr>
          <w:rFonts w:cs="Verdana" w:ascii="Verdana" w:hAnsi="Verdana"/>
          <w:sz w:val="20"/>
          <w:szCs w:val="20"/>
        </w:rPr>
        <w:t>2.3.2. Os serviços de manutenção corretiva são procedimentos de substituição de peças e reparos/consertos necessários a sanar defeitos/falhas dos equipamentos que possam acarretar ou tenham acarretados a danificação ou interrupção/suspensão do funcionamento dos mesmos.</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2.3.3</w:t>
      </w:r>
      <w:r>
        <w:rPr>
          <w:rFonts w:cs="Verdana" w:ascii="Verdana" w:hAnsi="Verdana"/>
          <w:sz w:val="20"/>
          <w:szCs w:val="20"/>
        </w:rPr>
        <w:t>. Na execução dos serviços de manutenção preventiva e corretiva deverão ser observadas as Normas Técnicas da ABNT e da Portaria do Ministério da Saúde 3523 de 28 de agosto de 1998.</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2.3.4</w:t>
      </w:r>
      <w:r>
        <w:rPr>
          <w:rFonts w:cs="Verdana" w:ascii="Verdana" w:hAnsi="Verdana"/>
          <w:sz w:val="20"/>
          <w:szCs w:val="20"/>
        </w:rPr>
        <w:t>. Para a realização do objeto, a contratada deverá atender aos chamados que serão realizados através do Coordenador de Saúde Bucal, servidor designado pela Secretaria Municipal de saúde para proceder com as visitas, tanto preventivas quanto corretivas, bem como disponibilizar a Secretaria Municipal de Saúde suporte técnico especializado para as manutenções corretivas que se fizerem necessárias, a partir de uma solução via e-mail e/ou telefone, em tempo integral;</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2.3.5</w:t>
      </w:r>
      <w:r>
        <w:rPr>
          <w:rFonts w:cs="Verdana" w:ascii="Verdana" w:hAnsi="Verdana"/>
          <w:sz w:val="20"/>
          <w:szCs w:val="20"/>
        </w:rPr>
        <w:t>. A contratada deverá disponibilizar veículo para deslocamento entre os locais da SEMUS em que os serviços deverão ser prestados, bem como para o transporte dos equipamentos necessários para a realização dos serviços. Serão ainda da responsabilidade da contratada todos os equipamentos/ferramentas e consumíveis tais como: parafusos, mangueiras, vedantes, fitas adesivas, fios de circuito elétrico, óleos lubrificantes, gás, fios de solda, álcool, benzina, estopa, flanelas, lixas, porcas, lâmpadas, conduítes, gaxeta, termostato, relê, pilhas/baterias, fusíveis, entre outros indispensáveis para a manutenção dos equipamentos objeto deste TR, estes estarão incluídos no valor do serviço contratado e seu funcionamento não acarretará ônus à CONTRATANTE;</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2.3.6</w:t>
      </w:r>
      <w:r>
        <w:rPr>
          <w:rFonts w:cs="Verdana" w:ascii="Verdana" w:hAnsi="Verdana"/>
          <w:sz w:val="20"/>
          <w:szCs w:val="20"/>
        </w:rPr>
        <w:t>. A mão de obra empregada na execução dos serviços deverá ser capacitada e ter experiência nas áreas específicas de atuação e deverá ser promovido sempre que for necessário para atualização tecnológica com responsabilidade total da contratada, inclusive custos.</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2.3.7</w:t>
      </w:r>
      <w:r>
        <w:rPr>
          <w:rFonts w:cs="Verdana" w:ascii="Verdana" w:hAnsi="Verdana"/>
          <w:sz w:val="20"/>
          <w:szCs w:val="20"/>
        </w:rPr>
        <w:t>. Os serviços de manutenção preventiva e corretiva serão executados com fornecimento, pela contratada, dos materiais de consumo necessários e suficientes à sua realização, não excedendo o prazo de 24 (vinte e quatro) horas para a realização dos mesmos em caso de remoção do local onde o aparelho encontra-se instalado.</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2.3.8</w:t>
      </w:r>
      <w:r>
        <w:rPr>
          <w:rFonts w:cs="Verdana" w:ascii="Verdana" w:hAnsi="Verdana"/>
          <w:sz w:val="20"/>
          <w:szCs w:val="20"/>
        </w:rPr>
        <w:t>. Os serviços de manutenção preventiva deverão ser realizados nos horários acordados entre o Fiscal do Contrato e a contratada. A execução dos serviços deverá ser acompanhada pelo responsável técnico da contratada, os quais somente serão realizados em equipamentos sem nenhuma pendência corretiva;</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2.3.9</w:t>
      </w:r>
      <w:r>
        <w:rPr>
          <w:rFonts w:cs="Verdana" w:ascii="Verdana" w:hAnsi="Verdana"/>
          <w:sz w:val="20"/>
          <w:szCs w:val="20"/>
        </w:rPr>
        <w:t>. A contratada obrigar-se-á a apresentar mensalmente, durante a vigência do contrato, relatório técnico mensal de ocorrências, do qual deverá constar a descrição, data e hora da execução dos serviços, bem como os materiais utilizados, com suas respectivas quantidades, e o nome do profissional que executou a tarefa;</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lang w:val="pt-BR" w:eastAsia="pt-BR" w:bidi="ar-SA"/>
        </w:rPr>
        <w:t>2.3.10</w:t>
      </w:r>
      <w:r>
        <w:rPr>
          <w:rFonts w:cs="Verdana" w:ascii="Verdana" w:hAnsi="Verdana"/>
          <w:sz w:val="20"/>
          <w:szCs w:val="20"/>
        </w:rPr>
        <w:t>. O relatório será apresentado pelo fiscal do contrato e apensado para fins de pagamento a contratada.</w:t>
      </w:r>
    </w:p>
    <w:p>
      <w:pPr>
        <w:pStyle w:val="Normal"/>
        <w:spacing w:before="57" w:after="57"/>
        <w:ind w:hanging="0" w:left="0" w:right="0"/>
        <w:jc w:val="both"/>
        <w:rPr>
          <w:rFonts w:ascii="Verdana" w:hAnsi="Verdana" w:cs="Verdana"/>
          <w:sz w:val="20"/>
          <w:szCs w:val="20"/>
        </w:rPr>
      </w:pPr>
      <w:r>
        <w:rPr>
          <w:rFonts w:cs="Verdana" w:ascii="Verdana" w:hAnsi="Verdana"/>
          <w:b/>
          <w:sz w:val="20"/>
          <w:szCs w:val="20"/>
          <w:u w:val="none"/>
        </w:rPr>
        <w:t>2.4. DA MANUTENÇÃO CORRETIVA</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u w:val="none"/>
          <w:lang w:val="pt-BR" w:eastAsia="pt-BR" w:bidi="ar-SA"/>
        </w:rPr>
        <w:t>2.4.</w:t>
      </w:r>
      <w:r>
        <w:rPr>
          <w:rFonts w:eastAsia="Cambria" w:cs="Verdana" w:ascii="Verdana" w:hAnsi="Verdana"/>
          <w:b w:val="false"/>
          <w:bCs w:val="false"/>
          <w:color w:val="auto"/>
          <w:kern w:val="0"/>
          <w:sz w:val="20"/>
          <w:szCs w:val="20"/>
          <w:lang w:val="pt-BR" w:eastAsia="pt-BR" w:bidi="ar-SA"/>
        </w:rPr>
        <w:t>1</w:t>
      </w:r>
      <w:r>
        <w:rPr>
          <w:rFonts w:cs="Verdana" w:ascii="Verdana" w:hAnsi="Verdana"/>
          <w:sz w:val="20"/>
          <w:szCs w:val="20"/>
        </w:rPr>
        <w:t>. Tem por finalidade corrigir falhas e defeitos dos equipamentos de qualquer natureza, sempre que se fizer necessário, com o objetivo de eliminar decorrentes do uso normal do equipamento, garantindo o perfeito funcionamento, não tendo periodicidade definida dentro do prazo contratual, compreendendo tantas visitas quanto forem necessárias. Compreenderá em chamado, mediante pedido formal, a qual deverá ser atendida através de contatos via e-mail e/ou telefone, cujo prazo máximo será de 24 (vinte e quatro) horas.</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u w:val="none"/>
          <w:lang w:val="pt-BR" w:eastAsia="pt-BR" w:bidi="ar-SA"/>
        </w:rPr>
        <w:t>2.4.</w:t>
      </w:r>
      <w:r>
        <w:rPr>
          <w:rFonts w:eastAsia="Cambria" w:cs="Verdana" w:ascii="Verdana" w:hAnsi="Verdana"/>
          <w:b w:val="false"/>
          <w:bCs w:val="false"/>
          <w:color w:val="auto"/>
          <w:kern w:val="0"/>
          <w:sz w:val="20"/>
          <w:szCs w:val="20"/>
          <w:lang w:val="pt-BR" w:eastAsia="pt-BR" w:bidi="ar-SA"/>
        </w:rPr>
        <w:t>2</w:t>
      </w:r>
      <w:r>
        <w:rPr>
          <w:rFonts w:cs="Verdana" w:ascii="Verdana" w:hAnsi="Verdana"/>
          <w:sz w:val="20"/>
          <w:szCs w:val="20"/>
        </w:rPr>
        <w:t>. A Contratada deverá prestar atendimento sempre que for solicitado unicamente por chamado/agendamento que serão solicitados via e-mail e/ou contato telefônico. Os atendimentos corretivos deverão ser efetuados em até 24 (vinte e quatro) horas após o registro do chamado.</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u w:val="none"/>
          <w:lang w:val="pt-BR" w:eastAsia="pt-BR" w:bidi="ar-SA"/>
        </w:rPr>
        <w:t>2.4.</w:t>
      </w:r>
      <w:r>
        <w:rPr>
          <w:rFonts w:eastAsia="Cambria" w:cs="Verdana" w:ascii="Verdana" w:hAnsi="Verdana"/>
          <w:b w:val="false"/>
          <w:bCs w:val="false"/>
          <w:color w:val="auto"/>
          <w:kern w:val="0"/>
          <w:sz w:val="20"/>
          <w:szCs w:val="20"/>
          <w:lang w:val="pt-BR" w:eastAsia="pt-BR" w:bidi="ar-SA"/>
        </w:rPr>
        <w:t>3</w:t>
      </w:r>
      <w:r>
        <w:rPr>
          <w:rFonts w:cs="Verdana" w:ascii="Verdana" w:hAnsi="Verdana"/>
          <w:sz w:val="20"/>
          <w:szCs w:val="20"/>
        </w:rPr>
        <w:t>. Caso o conserto se exceda ao tempo de 48 (quarenta e oito) horas a contratada deverá substituir o aparelho por outro semelhante com a finalidade de evitar a paralisação dos serviços da Unidade.</w:t>
      </w:r>
    </w:p>
    <w:p>
      <w:pPr>
        <w:pStyle w:val="Normal"/>
        <w:spacing w:before="57" w:after="57"/>
        <w:ind w:hanging="0" w:left="0" w:right="0"/>
        <w:jc w:val="both"/>
        <w:rPr>
          <w:rFonts w:ascii="Verdana" w:hAnsi="Verdana" w:cs="Verdana"/>
          <w:sz w:val="20"/>
          <w:szCs w:val="20"/>
        </w:rPr>
      </w:pPr>
      <w:r>
        <w:rPr>
          <w:rFonts w:cs="Verdana" w:ascii="Verdana" w:hAnsi="Verdana"/>
          <w:b/>
          <w:sz w:val="20"/>
          <w:szCs w:val="20"/>
          <w:u w:val="none"/>
        </w:rPr>
        <w:t>2.5. DA MANUTENÇÃO PREVENTIVA</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u w:val="none"/>
          <w:lang w:val="pt-BR" w:eastAsia="pt-BR" w:bidi="ar-SA"/>
        </w:rPr>
        <w:t>2.5.</w:t>
      </w:r>
      <w:r>
        <w:rPr>
          <w:rFonts w:eastAsia="Cambria" w:cs="Verdana" w:ascii="Verdana" w:hAnsi="Verdana"/>
          <w:b w:val="false"/>
          <w:bCs w:val="false"/>
          <w:color w:val="auto"/>
          <w:kern w:val="0"/>
          <w:sz w:val="20"/>
          <w:szCs w:val="20"/>
          <w:lang w:val="pt-BR" w:eastAsia="pt-BR" w:bidi="ar-SA"/>
        </w:rPr>
        <w:t>1</w:t>
      </w:r>
      <w:r>
        <w:rPr>
          <w:rFonts w:cs="Verdana" w:ascii="Verdana" w:hAnsi="Verdana"/>
          <w:sz w:val="20"/>
          <w:szCs w:val="20"/>
        </w:rPr>
        <w:t>. Consiste em efetuar verificações, inspeções, medições e testes preventivos nas instalações em geral e se necessário, ações para eliminar os desvios de funcionamento nelas encontrados. Toda e qualquer manutenção preventiva deverá ser procedida de uma ação corretiva sempre que necessário. Esta manutenção será realizada de forma programada, sem interromper o fluxo normal de serviços das unidades o que, eventualmente implicará a realização de trabalho em períodos noturnos, finais de semana e feriados. Conforme quadro com o cronograma das manutenções preventivas a serem realizadas, que deverá ser disponibilizado ao setor específico.</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u w:val="none"/>
          <w:lang w:val="pt-BR" w:eastAsia="pt-BR" w:bidi="ar-SA"/>
        </w:rPr>
        <w:t>2.5.</w:t>
      </w:r>
      <w:r>
        <w:rPr>
          <w:rFonts w:eastAsia="Cambria" w:cs="Verdana" w:ascii="Verdana" w:hAnsi="Verdana"/>
          <w:b w:val="false"/>
          <w:bCs w:val="false"/>
          <w:color w:val="auto"/>
          <w:kern w:val="0"/>
          <w:sz w:val="20"/>
          <w:szCs w:val="20"/>
          <w:lang w:val="pt-BR" w:eastAsia="pt-BR" w:bidi="ar-SA"/>
        </w:rPr>
        <w:t>2</w:t>
      </w:r>
      <w:r>
        <w:rPr>
          <w:rFonts w:cs="Verdana" w:ascii="Verdana" w:hAnsi="Verdana"/>
          <w:sz w:val="20"/>
          <w:szCs w:val="20"/>
        </w:rPr>
        <w:t>. A visita de manutenção preventiva deverá compreender em check list dos equipamentos alocados dentro de cada consultório e ficha individual (histórico) de cada equipamento a ser executada a manutenção preventiva. Não serão consideradas executadas as manutenções preventivas feitas sem atesto no relatório (check – list em duas vias) por parte da coordenação de Saúde Bucal.</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u w:val="none"/>
          <w:lang w:val="pt-BR" w:eastAsia="pt-BR" w:bidi="ar-SA"/>
        </w:rPr>
        <w:t>2.5.</w:t>
      </w:r>
      <w:r>
        <w:rPr>
          <w:rFonts w:eastAsia="Cambria" w:cs="Verdana" w:ascii="Verdana" w:hAnsi="Verdana"/>
          <w:b w:val="false"/>
          <w:bCs w:val="false"/>
          <w:color w:val="auto"/>
          <w:kern w:val="0"/>
          <w:sz w:val="20"/>
          <w:szCs w:val="20"/>
          <w:lang w:val="pt-BR" w:eastAsia="pt-BR" w:bidi="ar-SA"/>
        </w:rPr>
        <w:t>3</w:t>
      </w:r>
      <w:r>
        <w:rPr>
          <w:rFonts w:cs="Verdana" w:ascii="Verdana" w:hAnsi="Verdana"/>
          <w:sz w:val="20"/>
          <w:szCs w:val="20"/>
        </w:rPr>
        <w:t>. A empresa contratada deverá prestar manutenção preventiva nos equipamentos odontológicos sempre que houver a necessidade nos dias e horários determinados através de agendamento e que vigorará até o final da contratação dos serviços.</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val="false"/>
          <w:bCs w:val="false"/>
          <w:color w:val="auto"/>
          <w:kern w:val="0"/>
          <w:sz w:val="20"/>
          <w:szCs w:val="20"/>
          <w:u w:val="none"/>
          <w:lang w:val="pt-BR" w:eastAsia="pt-BR" w:bidi="ar-SA"/>
        </w:rPr>
        <w:t>2.5.</w:t>
      </w:r>
      <w:r>
        <w:rPr>
          <w:rFonts w:eastAsia="Cambria" w:cs="Verdana" w:ascii="Verdana" w:hAnsi="Verdana"/>
          <w:b w:val="false"/>
          <w:bCs w:val="false"/>
          <w:color w:val="auto"/>
          <w:kern w:val="0"/>
          <w:sz w:val="20"/>
          <w:szCs w:val="20"/>
          <w:lang w:val="pt-BR" w:eastAsia="pt-BR" w:bidi="ar-SA"/>
        </w:rPr>
        <w:t>4</w:t>
      </w:r>
      <w:r>
        <w:rPr>
          <w:rFonts w:cs="Verdana" w:ascii="Verdana" w:hAnsi="Verdana"/>
          <w:sz w:val="20"/>
          <w:szCs w:val="20"/>
        </w:rPr>
        <w:t>. Nos procedimentos de manutenção preventiva deverá estar incluso:</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Revisão geral, fixação e troca de parafusos, roscas, bielas, anéis, borrachas, mangueiras, fusíveis e outras peças de valor;</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Limpeza;</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 xml:space="preserve">Testes, recarga, calibração e lubrificação com a finalidade de evitar a ocorrência de defeitos e acidentes, bem como para garantir o perfeito e regular funcionamento dos equipamentos; </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 xml:space="preserve">Remoção de eventual poeira interna dos aparelhos, de acordo com seu estado, com particular atenção ao grupo termostático; </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Ajustes dos principais mecanismos e grupos eletromecânicos, caso seja aplicável;</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Ajustes das principais regulagens;</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Verificação das partes elétricas;</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Verificação das partes eletrônicas;</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Verificação do alimentador;</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Verificação do funcionamento dos aparelhos;</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color w:val="111111"/>
          <w:sz w:val="20"/>
          <w:szCs w:val="20"/>
        </w:rPr>
      </w:pPr>
      <w:r>
        <w:rPr>
          <w:rFonts w:cs="Verdana" w:ascii="Verdana" w:hAnsi="Verdana"/>
          <w:color w:val="111111"/>
          <w:sz w:val="20"/>
          <w:szCs w:val="20"/>
        </w:rPr>
        <w:t>Desmontagem e montagem ads partes de acrílico para limpeza quando necessário;</w:t>
      </w:r>
    </w:p>
    <w:p>
      <w:pPr>
        <w:pStyle w:val="Normal"/>
        <w:numPr>
          <w:ilvl w:val="0"/>
          <w:numId w:val="8"/>
        </w:numPr>
        <w:tabs>
          <w:tab w:val="clear" w:pos="708"/>
          <w:tab w:val="left" w:pos="914" w:leader="none"/>
          <w:tab w:val="left" w:pos="1309" w:leader="none"/>
        </w:tabs>
        <w:spacing w:lineRule="auto" w:line="276" w:before="57" w:after="57"/>
        <w:jc w:val="both"/>
        <w:rPr>
          <w:rFonts w:ascii="Verdana" w:hAnsi="Verdana" w:cs="Verdana"/>
          <w:sz w:val="20"/>
          <w:szCs w:val="20"/>
        </w:rPr>
      </w:pPr>
      <w:r>
        <w:rPr>
          <w:rFonts w:cs="Verdana" w:ascii="Verdana" w:hAnsi="Verdana"/>
          <w:color w:val="111111"/>
          <w:sz w:val="20"/>
          <w:szCs w:val="20"/>
        </w:rPr>
        <w:t>Prestar orientações básica</w:t>
      </w:r>
      <w:r>
        <w:rPr>
          <w:rFonts w:cs="Verdana" w:ascii="Verdana" w:hAnsi="Verdana"/>
          <w:sz w:val="20"/>
          <w:szCs w:val="20"/>
        </w:rPr>
        <w:t>s de conservação e utilização dos equipamentos aos operadores dos mesmos.</w:t>
      </w:r>
    </w:p>
    <w:p>
      <w:pPr>
        <w:pStyle w:val="Normal"/>
        <w:spacing w:lineRule="auto" w:line="276" w:before="57" w:after="57"/>
        <w:ind w:right="0"/>
        <w:jc w:val="both"/>
        <w:rPr>
          <w:rFonts w:ascii="Verdana" w:hAnsi="Verdana" w:cs="Verdana"/>
          <w:sz w:val="20"/>
          <w:szCs w:val="20"/>
        </w:rPr>
      </w:pPr>
      <w:r>
        <w:rPr>
          <w:rFonts w:cs="Verdana" w:ascii="Verdana" w:hAnsi="Verdana"/>
          <w:b w:val="false"/>
          <w:bCs w:val="false"/>
          <w:sz w:val="20"/>
          <w:szCs w:val="20"/>
          <w:u w:val="none"/>
        </w:rPr>
        <w:t>2.5.</w:t>
      </w:r>
      <w:r>
        <w:rPr>
          <w:rFonts w:cs="Verdana" w:ascii="Verdana" w:hAnsi="Verdana"/>
          <w:b w:val="false"/>
          <w:bCs w:val="false"/>
          <w:sz w:val="20"/>
          <w:szCs w:val="20"/>
        </w:rPr>
        <w:t>5.</w:t>
      </w:r>
      <w:r>
        <w:rPr>
          <w:rFonts w:cs="Verdana" w:ascii="Verdana" w:hAnsi="Verdana"/>
          <w:sz w:val="20"/>
          <w:szCs w:val="20"/>
        </w:rPr>
        <w:t xml:space="preserve"> Apresentar à Secretaria Municipal de Saúde, relatórios mensais dos serviços prestados sobre a manutenção preventiva dos equipamentos, devidamente assinado pelo responsável da Unidade ou a quem for entregue o serviço;</w:t>
      </w:r>
    </w:p>
    <w:p>
      <w:pPr>
        <w:pStyle w:val="Normal"/>
        <w:spacing w:before="57" w:after="57"/>
        <w:ind w:hanging="0" w:left="0" w:right="0"/>
        <w:jc w:val="both"/>
        <w:rPr>
          <w:rFonts w:ascii="Verdana" w:hAnsi="Verdana" w:cs="Verdana"/>
          <w:sz w:val="20"/>
          <w:szCs w:val="20"/>
        </w:rPr>
      </w:pPr>
      <w:r>
        <w:rPr>
          <w:rFonts w:cs="Verdana" w:ascii="Verdana" w:hAnsi="Verdana"/>
          <w:b/>
          <w:sz w:val="20"/>
          <w:szCs w:val="20"/>
          <w:u w:val="none"/>
        </w:rPr>
        <w:t>2.6. DO PRAZO DE EXECUÇÃO, AVALIAÇÃO DA QUALIDADE E ACEITE DE SERVIÇOS/PEÇAS:</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bCs/>
          <w:color w:val="auto"/>
          <w:kern w:val="0"/>
          <w:sz w:val="20"/>
          <w:szCs w:val="20"/>
          <w:u w:val="none"/>
          <w:lang w:val="pt-BR" w:eastAsia="pt-BR" w:bidi="ar-SA"/>
        </w:rPr>
        <w:t>2.6.</w:t>
      </w:r>
      <w:r>
        <w:rPr>
          <w:rFonts w:eastAsia="Cambria" w:cs="Verdana" w:ascii="Verdana" w:hAnsi="Verdana"/>
          <w:b/>
          <w:bCs/>
          <w:color w:val="auto"/>
          <w:kern w:val="0"/>
          <w:sz w:val="20"/>
          <w:szCs w:val="20"/>
          <w:lang w:val="pt-BR" w:eastAsia="pt-BR" w:bidi="ar-SA"/>
        </w:rPr>
        <w:t>1</w:t>
      </w:r>
      <w:r>
        <w:rPr>
          <w:rFonts w:cs="Verdana" w:ascii="Verdana" w:hAnsi="Verdana"/>
          <w:sz w:val="20"/>
          <w:szCs w:val="20"/>
        </w:rPr>
        <w:t>. O objetivo deste futuro contrato será recebido da seguinte forma:</w:t>
      </w:r>
    </w:p>
    <w:p>
      <w:pPr>
        <w:pStyle w:val="Normal"/>
        <w:spacing w:lineRule="auto" w:line="276" w:before="57" w:after="57"/>
        <w:ind w:right="0"/>
        <w:jc w:val="both"/>
        <w:rPr>
          <w:rFonts w:ascii="Verdana" w:hAnsi="Verdana" w:cs="Verdana"/>
          <w:sz w:val="20"/>
          <w:szCs w:val="20"/>
        </w:rPr>
      </w:pPr>
      <w:r>
        <w:rPr>
          <w:rFonts w:cs="Verdana" w:ascii="Verdana" w:hAnsi="Verdana"/>
          <w:b w:val="false"/>
          <w:bCs w:val="false"/>
          <w:sz w:val="20"/>
          <w:szCs w:val="20"/>
          <w:u w:val="none"/>
        </w:rPr>
        <w:t>2.6.</w:t>
      </w:r>
      <w:r>
        <w:rPr>
          <w:rFonts w:cs="Verdana" w:ascii="Verdana" w:hAnsi="Verdana"/>
          <w:b w:val="false"/>
          <w:bCs w:val="false"/>
          <w:sz w:val="20"/>
          <w:szCs w:val="20"/>
        </w:rPr>
        <w:t>1.1</w:t>
      </w:r>
      <w:r>
        <w:rPr>
          <w:rFonts w:cs="Verdana" w:ascii="Verdana" w:hAnsi="Verdana"/>
          <w:sz w:val="20"/>
          <w:szCs w:val="20"/>
        </w:rPr>
        <w:t>. Prazo de mobilização: a execução dos serviços objeto desta contratação deverá iniciar-se no prazo de até 05 (cinco) dias consecutivos, a contar da data de emissão da Autorização de fornecimento/Ordem de serviço;</w:t>
      </w:r>
    </w:p>
    <w:p>
      <w:pPr>
        <w:pStyle w:val="Normal"/>
        <w:spacing w:lineRule="auto" w:line="276" w:before="57" w:after="57"/>
        <w:ind w:right="0"/>
        <w:jc w:val="both"/>
        <w:rPr>
          <w:rFonts w:ascii="Verdana" w:hAnsi="Verdana" w:cs="Verdana"/>
          <w:sz w:val="20"/>
          <w:szCs w:val="20"/>
        </w:rPr>
      </w:pPr>
      <w:r>
        <w:rPr>
          <w:rFonts w:cs="Verdana" w:ascii="Verdana" w:hAnsi="Verdana"/>
          <w:b w:val="false"/>
          <w:bCs w:val="false"/>
          <w:sz w:val="20"/>
          <w:szCs w:val="20"/>
          <w:u w:val="none"/>
        </w:rPr>
        <w:t>2.6.</w:t>
      </w:r>
      <w:r>
        <w:rPr>
          <w:rFonts w:cs="Verdana" w:ascii="Verdana" w:hAnsi="Verdana"/>
          <w:b w:val="false"/>
          <w:bCs w:val="false"/>
          <w:sz w:val="20"/>
          <w:szCs w:val="20"/>
        </w:rPr>
        <w:t>1.</w:t>
      </w:r>
      <w:r>
        <w:rPr>
          <w:rFonts w:cs="Verdana" w:ascii="Verdana" w:hAnsi="Verdana"/>
          <w:sz w:val="20"/>
          <w:szCs w:val="20"/>
        </w:rPr>
        <w:t>2. Os serviços deverão ser executados de segunda a sexta-feira, no horário compreendido das 7:00hs às 16:00 hs nas Unidades Básicas de Saúde; a equipe técnica deverá identificar-se junto a recepção das respectivas unidades.</w:t>
      </w:r>
    </w:p>
    <w:p>
      <w:pPr>
        <w:pStyle w:val="Normal"/>
        <w:spacing w:lineRule="auto" w:line="276" w:before="57" w:after="57"/>
        <w:ind w:right="0"/>
        <w:jc w:val="both"/>
        <w:rPr>
          <w:rFonts w:ascii="Verdana" w:hAnsi="Verdana" w:cs="Verdana"/>
          <w:sz w:val="20"/>
          <w:szCs w:val="20"/>
        </w:rPr>
      </w:pPr>
      <w:r>
        <w:rPr>
          <w:rFonts w:cs="Verdana" w:ascii="Verdana" w:hAnsi="Verdana"/>
          <w:b w:val="false"/>
          <w:bCs w:val="false"/>
          <w:sz w:val="20"/>
          <w:szCs w:val="20"/>
          <w:u w:val="none"/>
        </w:rPr>
        <w:t>2.6.</w:t>
      </w:r>
      <w:r>
        <w:rPr>
          <w:rFonts w:cs="Verdana" w:ascii="Verdana" w:hAnsi="Verdana"/>
          <w:b w:val="false"/>
          <w:bCs w:val="false"/>
          <w:sz w:val="20"/>
          <w:szCs w:val="20"/>
        </w:rPr>
        <w:t>1.</w:t>
      </w:r>
      <w:r>
        <w:rPr>
          <w:rFonts w:cs="Verdana" w:ascii="Verdana" w:hAnsi="Verdana"/>
          <w:sz w:val="20"/>
          <w:szCs w:val="20"/>
        </w:rPr>
        <w:t>3. A CONTRATADA deverá orientar suas práticas através do Cronograma de Manutenção preventiva a ser aprovado pelo Coordenador de Saúde Bucal, o qual também fiscalizado do referido contrato.</w:t>
      </w:r>
    </w:p>
    <w:p>
      <w:pPr>
        <w:pStyle w:val="Normal"/>
        <w:spacing w:lineRule="auto" w:line="276" w:before="57" w:after="57"/>
        <w:ind w:right="0"/>
        <w:jc w:val="both"/>
        <w:rPr>
          <w:rFonts w:ascii="Verdana" w:hAnsi="Verdana" w:cs="Verdana"/>
          <w:sz w:val="20"/>
          <w:szCs w:val="20"/>
        </w:rPr>
      </w:pPr>
      <w:r>
        <w:rPr>
          <w:rFonts w:cs="Verdana" w:ascii="Verdana" w:hAnsi="Verdana"/>
          <w:b w:val="false"/>
          <w:bCs w:val="false"/>
          <w:sz w:val="20"/>
          <w:szCs w:val="20"/>
          <w:u w:val="none"/>
        </w:rPr>
        <w:t>2.6.</w:t>
      </w:r>
      <w:r>
        <w:rPr>
          <w:rFonts w:cs="Verdana" w:ascii="Verdana" w:hAnsi="Verdana"/>
          <w:b w:val="false"/>
          <w:bCs w:val="false"/>
          <w:sz w:val="20"/>
          <w:szCs w:val="20"/>
        </w:rPr>
        <w:t>1.</w:t>
      </w:r>
      <w:r>
        <w:rPr>
          <w:rFonts w:cs="Verdana" w:ascii="Verdana" w:hAnsi="Verdana"/>
          <w:sz w:val="20"/>
          <w:szCs w:val="20"/>
        </w:rPr>
        <w:t>4. A CONTRATADA deverá prestar todas as informações sobre os equipamentos e serviços executados, incluindo a emissão de relatórios de acompanhamento e controle, periodicamente, conforme previsto e/ou solicitado pela secretaria.</w:t>
      </w:r>
    </w:p>
    <w:p>
      <w:pPr>
        <w:pStyle w:val="Normal"/>
        <w:spacing w:lineRule="auto" w:line="276" w:before="57" w:after="57"/>
        <w:ind w:right="0"/>
        <w:jc w:val="both"/>
        <w:rPr>
          <w:rFonts w:ascii="Verdana" w:hAnsi="Verdana" w:cs="Verdana"/>
          <w:sz w:val="20"/>
          <w:szCs w:val="20"/>
        </w:rPr>
      </w:pPr>
      <w:r>
        <w:rPr>
          <w:rFonts w:cs="Verdana" w:ascii="Verdana" w:hAnsi="Verdana"/>
          <w:b w:val="false"/>
          <w:bCs w:val="false"/>
          <w:sz w:val="20"/>
          <w:szCs w:val="20"/>
          <w:u w:val="none"/>
        </w:rPr>
        <w:t>2.6.</w:t>
      </w:r>
      <w:r>
        <w:rPr>
          <w:rFonts w:cs="Verdana" w:ascii="Verdana" w:hAnsi="Verdana"/>
          <w:b w:val="false"/>
          <w:bCs w:val="false"/>
          <w:sz w:val="20"/>
          <w:szCs w:val="20"/>
        </w:rPr>
        <w:t>1.</w:t>
      </w:r>
      <w:r>
        <w:rPr>
          <w:rFonts w:cs="Verdana" w:ascii="Verdana" w:hAnsi="Verdana"/>
          <w:sz w:val="20"/>
          <w:szCs w:val="20"/>
        </w:rPr>
        <w:t>5. No caso de manutenção corretiva, o prazo para execução dos serviços será de 24 (vinte e quatro) horas, contados a partir do recebimento da solicitação a contratada;</w:t>
      </w:r>
    </w:p>
    <w:p>
      <w:pPr>
        <w:pStyle w:val="Normal"/>
        <w:spacing w:lineRule="auto" w:line="276" w:before="57" w:after="57"/>
        <w:ind w:right="0"/>
        <w:jc w:val="both"/>
        <w:rPr>
          <w:rFonts w:ascii="Verdana" w:hAnsi="Verdana" w:cs="Verdana"/>
          <w:sz w:val="20"/>
          <w:szCs w:val="20"/>
        </w:rPr>
      </w:pPr>
      <w:r>
        <w:rPr>
          <w:rFonts w:cs="Verdana" w:ascii="Verdana" w:hAnsi="Verdana"/>
          <w:b w:val="false"/>
          <w:bCs w:val="false"/>
          <w:sz w:val="20"/>
          <w:szCs w:val="20"/>
          <w:u w:val="none"/>
        </w:rPr>
        <w:t>2.6.</w:t>
      </w:r>
      <w:r>
        <w:rPr>
          <w:rFonts w:cs="Verdana" w:ascii="Verdana" w:hAnsi="Verdana"/>
          <w:b w:val="false"/>
          <w:bCs w:val="false"/>
          <w:sz w:val="20"/>
          <w:szCs w:val="20"/>
        </w:rPr>
        <w:t>1.</w:t>
      </w:r>
      <w:r>
        <w:rPr>
          <w:rFonts w:cs="Verdana" w:ascii="Verdana" w:hAnsi="Verdana"/>
          <w:sz w:val="20"/>
          <w:szCs w:val="20"/>
        </w:rPr>
        <w:t>6. Os prazos acima poderão ser flexíveis, desde que devidamente justificados pela contratada e aceitos pelo fiscal do contrato.</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bCs/>
          <w:color w:val="auto"/>
          <w:kern w:val="0"/>
          <w:sz w:val="20"/>
          <w:szCs w:val="20"/>
          <w:lang w:val="pt-BR" w:eastAsia="pt-BR" w:bidi="ar-SA"/>
        </w:rPr>
        <w:t>2.6.2</w:t>
      </w:r>
      <w:r>
        <w:rPr>
          <w:rFonts w:cs="Verdana" w:ascii="Verdana" w:hAnsi="Verdana"/>
          <w:sz w:val="20"/>
          <w:szCs w:val="20"/>
        </w:rPr>
        <w:t xml:space="preserve">. </w:t>
      </w:r>
      <w:r>
        <w:rPr>
          <w:rFonts w:cs="Verdana" w:ascii="Verdana" w:hAnsi="Verdana"/>
          <w:b/>
          <w:bCs/>
          <w:sz w:val="20"/>
          <w:szCs w:val="20"/>
        </w:rPr>
        <w:t>FORNECIMENTO DE PEÇAS: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2.6.2.1. O fornecimento das peças deverá ocorrer no prazo máximo de 24 (vinte e quatro) horas, de forma parcelada conforme necessidade, sendo contados a partir do recebimento da Ordem de fornecimento, expedida pela Secretaria Municipal de Saúde – SEMUS.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2.6.2.2. As peças desenvolvidas na hipótese das mesmas não corresponderem às especificações exigidas, devem ser substituídas pela empresa vencedora no prazo máximo de 02 (dois) dias.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2.6.2.3. As peças deverão ser entregues na Secretaria Municipal de Saúde – Setor de Almoxarifado, situado na Rua João XXIII nº 287 – Centro em São Gabriel da Palha ES. Telefone de contrato: (27) 9 9740 8895 no horário de expediente de segunda a quinta feira de 7:00hs às 16:00hs e nas sextas-feiras no horário de 7:00hs às 13 horas.</w:t>
      </w:r>
    </w:p>
    <w:p>
      <w:pPr>
        <w:pStyle w:val="Normal"/>
        <w:spacing w:lineRule="auto" w:line="276" w:before="57" w:after="57"/>
        <w:ind w:right="0"/>
        <w:jc w:val="both"/>
        <w:rPr>
          <w:rFonts w:ascii="Verdana" w:hAnsi="Verdana" w:cs="Verdana"/>
          <w:sz w:val="20"/>
          <w:szCs w:val="20"/>
        </w:rPr>
      </w:pPr>
      <w:r>
        <w:rPr>
          <w:rFonts w:cs="Verdana" w:ascii="Verdana" w:hAnsi="Verdana"/>
          <w:b/>
          <w:iCs/>
          <w:color w:val="000000"/>
          <w:sz w:val="20"/>
          <w:szCs w:val="20"/>
        </w:rPr>
        <w:t>2.6.2.</w:t>
      </w:r>
      <w:r>
        <w:rPr>
          <w:rFonts w:cs="Arial" w:ascii="Verdana" w:hAnsi="Verdana"/>
          <w:b/>
          <w:iCs/>
          <w:color w:val="000000"/>
          <w:sz w:val="20"/>
          <w:szCs w:val="20"/>
        </w:rPr>
        <w:t>4. Prazo de garantia da fábrica, conforme disposição do código de defesa do consumidor;</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TERCEIRA – PAGAMENTO</w:t>
      </w:r>
    </w:p>
    <w:p>
      <w:pPr>
        <w:pStyle w:val="ListParagraph"/>
        <w:tabs>
          <w:tab w:val="clear" w:pos="708"/>
          <w:tab w:val="left" w:pos="434" w:leader="none"/>
        </w:tabs>
        <w:overflowPunct w:val="true"/>
        <w:spacing w:lineRule="auto" w:line="276" w:before="57" w:after="57"/>
        <w:ind w:hanging="0" w:left="0" w:right="0"/>
        <w:contextualSpacing w:val="false"/>
        <w:jc w:val="both"/>
        <w:textAlignment w:val="auto"/>
        <w:rPr>
          <w:rFonts w:ascii="Verdana" w:hAnsi="Verdana"/>
          <w:sz w:val="20"/>
          <w:szCs w:val="20"/>
        </w:rPr>
      </w:pPr>
      <w:r>
        <w:rPr>
          <w:rFonts w:cs="Verdana" w:ascii="Verdana" w:hAnsi="Verdana"/>
          <w:b/>
          <w:bCs/>
          <w:sz w:val="20"/>
          <w:szCs w:val="20"/>
        </w:rPr>
        <w:t>3.1</w:t>
      </w:r>
      <w:r>
        <w:rPr>
          <w:rFonts w:cs="Verdana" w:ascii="Verdana" w:hAnsi="Verdana"/>
          <w:b/>
          <w:sz w:val="20"/>
          <w:szCs w:val="20"/>
        </w:rPr>
        <w:t xml:space="preserve"> –</w:t>
      </w:r>
      <w:r>
        <w:rPr>
          <w:rFonts w:eastAsia="Verdana" w:cs="Verdana" w:ascii="Verdana" w:hAnsi="Verdana"/>
          <w:sz w:val="20"/>
          <w:szCs w:val="20"/>
        </w:rPr>
        <w:t xml:space="preserve"> </w:t>
      </w:r>
      <w:r>
        <w:rPr>
          <w:rFonts w:eastAsia="Verdana" w:cs="Arial" w:ascii="Verdana" w:hAnsi="Verdana"/>
          <w:sz w:val="20"/>
          <w:szCs w:val="20"/>
          <w:lang w:eastAsia="en-US"/>
        </w:rPr>
        <w:t xml:space="preserve">Recebida a Nota Fiscal ou documento de cobrança equivalente, correrá o prazo de </w:t>
      </w:r>
      <w:r>
        <w:rPr>
          <w:rFonts w:eastAsia="Times New Roman" w:cs="Times New Roman" w:ascii="Verdana" w:hAnsi="Verdana"/>
          <w:sz w:val="20"/>
          <w:szCs w:val="20"/>
          <w:lang w:eastAsia="en-US"/>
        </w:rPr>
        <w:t>(30) trinta</w:t>
      </w:r>
      <w:r>
        <w:rPr>
          <w:rFonts w:eastAsia="Verdana" w:cs="Arial" w:ascii="Verdana" w:hAnsi="Verdana"/>
          <w:sz w:val="20"/>
          <w:szCs w:val="20"/>
          <w:lang w:eastAsia="en-US"/>
        </w:rPr>
        <w:t xml:space="preserve"> dias úteis para fins de liquidação, na forma desta seção, prorrogáveis por igual período.</w:t>
      </w:r>
    </w:p>
    <w:p>
      <w:pPr>
        <w:pStyle w:val="Normal"/>
        <w:spacing w:lineRule="auto" w:line="276" w:before="57" w:after="57"/>
        <w:ind w:hanging="0" w:left="0" w:right="0"/>
        <w:jc w:val="both"/>
        <w:rPr/>
      </w:pPr>
      <w:r>
        <w:rPr>
          <w:rFonts w:ascii="Verdana" w:hAnsi="Verdana"/>
          <w:sz w:val="20"/>
          <w:szCs w:val="20"/>
        </w:rPr>
        <w:t xml:space="preserve">3.2.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91"/>
          <w:sz w:val="20"/>
          <w:szCs w:val="20"/>
          <w:rFonts w:ascii="Verdana" w:hAnsi="Verdana"/>
          <w:color w:val="000000"/>
        </w:rPr>
        <w:instrText xml:space="preserve"> HYPERLINK "http://www.planalto.gov.br/ccivil_03/_ato2019-2022/2021/lei/L14133.htm" \l "art75"</w:instrText>
      </w:r>
      <w:r>
        <w:rPr>
          <w:rStyle w:val="ListLabel91"/>
          <w:sz w:val="20"/>
          <w:szCs w:val="20"/>
          <w:rFonts w:ascii="Verdana" w:hAnsi="Verdana"/>
          <w:color w:val="000000"/>
        </w:rPr>
        <w:fldChar w:fldCharType="separate"/>
      </w:r>
      <w:r>
        <w:rPr>
          <w:rStyle w:val="ListLabel91"/>
          <w:rFonts w:ascii="Verdana" w:hAnsi="Verdana"/>
          <w:color w:val="000000"/>
          <w:sz w:val="20"/>
          <w:szCs w:val="20"/>
        </w:rPr>
        <w:t>inciso II do art. 75 da Lei nº 14.133, de 2021</w:t>
      </w:r>
      <w:r>
        <w:rPr>
          <w:rStyle w:val="ListLabel91"/>
          <w:sz w:val="20"/>
          <w:szCs w:val="20"/>
          <w:rFonts w:ascii="Verdana" w:hAnsi="Verdana"/>
          <w:color w:val="000000"/>
        </w:rPr>
        <w:fldChar w:fldCharType="end"/>
      </w:r>
      <w:r>
        <w:rPr>
          <w:rFonts w:ascii="Verdana" w:hAnsi="Verdana"/>
          <w:color w:val="000000"/>
          <w:sz w:val="20"/>
          <w:szCs w:val="20"/>
        </w:rPr>
        <w:t>.</w:t>
      </w:r>
    </w:p>
    <w:p>
      <w:pPr>
        <w:pStyle w:val="Normal"/>
        <w:spacing w:lineRule="auto" w:line="276" w:before="57" w:after="57"/>
        <w:ind w:hanging="0" w:left="0" w:right="0"/>
        <w:jc w:val="both"/>
        <w:rPr>
          <w:rFonts w:ascii="Verdana" w:hAnsi="Verdana"/>
          <w:sz w:val="20"/>
          <w:szCs w:val="20"/>
        </w:rPr>
      </w:pPr>
      <w:r>
        <w:rPr>
          <w:rFonts w:ascii="Verdana" w:hAnsi="Verdana"/>
          <w:sz w:val="20"/>
          <w:szCs w:val="20"/>
        </w:rPr>
        <w:t xml:space="preserve">3.3. Para fins de liquidação, o setor competente deverá verificar se a nota fiscal ou instrumento de cobrança equivalente apresentado expressa os elementos necessários e essenciais do documento, tais como: </w:t>
      </w:r>
    </w:p>
    <w:p>
      <w:pPr>
        <w:pStyle w:val="Normal"/>
        <w:numPr>
          <w:ilvl w:val="0"/>
          <w:numId w:val="7"/>
        </w:numPr>
        <w:tabs>
          <w:tab w:val="clear" w:pos="708"/>
          <w:tab w:val="left" w:pos="563" w:leader="none"/>
        </w:tabs>
        <w:spacing w:lineRule="auto" w:line="276" w:before="57" w:after="57"/>
        <w:jc w:val="both"/>
        <w:rPr/>
      </w:pPr>
      <w:r>
        <w:rPr>
          <w:rFonts w:ascii="Verdana" w:hAnsi="Verdana"/>
          <w:sz w:val="20"/>
          <w:szCs w:val="20"/>
        </w:rPr>
        <w:t>O prazo de validade;</w:t>
      </w:r>
    </w:p>
    <w:p>
      <w:pPr>
        <w:pStyle w:val="Normal"/>
        <w:numPr>
          <w:ilvl w:val="0"/>
          <w:numId w:val="7"/>
        </w:numPr>
        <w:tabs>
          <w:tab w:val="clear" w:pos="708"/>
          <w:tab w:val="left" w:pos="563" w:leader="none"/>
        </w:tabs>
        <w:spacing w:lineRule="auto" w:line="276" w:before="57" w:after="57"/>
        <w:jc w:val="both"/>
        <w:rPr/>
      </w:pPr>
      <w:r>
        <w:rPr>
          <w:rFonts w:ascii="Verdana" w:hAnsi="Verdana"/>
          <w:sz w:val="20"/>
          <w:szCs w:val="20"/>
        </w:rPr>
        <w:t xml:space="preserve">A data da emissão; </w:t>
      </w:r>
    </w:p>
    <w:p>
      <w:pPr>
        <w:pStyle w:val="Normal"/>
        <w:numPr>
          <w:ilvl w:val="0"/>
          <w:numId w:val="7"/>
        </w:numPr>
        <w:tabs>
          <w:tab w:val="clear" w:pos="708"/>
          <w:tab w:val="left" w:pos="563" w:leader="none"/>
        </w:tabs>
        <w:spacing w:lineRule="auto" w:line="276" w:before="57" w:after="57"/>
        <w:jc w:val="both"/>
        <w:rPr/>
      </w:pPr>
      <w:r>
        <w:rPr>
          <w:rFonts w:ascii="Verdana" w:hAnsi="Verdana"/>
          <w:sz w:val="20"/>
          <w:szCs w:val="20"/>
        </w:rPr>
        <w:t xml:space="preserve">Os dados do contrato e do órgão contratante; </w:t>
      </w:r>
    </w:p>
    <w:p>
      <w:pPr>
        <w:pStyle w:val="Normal"/>
        <w:numPr>
          <w:ilvl w:val="0"/>
          <w:numId w:val="7"/>
        </w:numPr>
        <w:tabs>
          <w:tab w:val="clear" w:pos="708"/>
          <w:tab w:val="left" w:pos="563" w:leader="none"/>
        </w:tabs>
        <w:spacing w:lineRule="auto" w:line="276" w:before="57" w:after="57"/>
        <w:jc w:val="both"/>
        <w:rPr/>
      </w:pPr>
      <w:r>
        <w:rPr>
          <w:rFonts w:ascii="Verdana" w:hAnsi="Verdana"/>
          <w:sz w:val="20"/>
          <w:szCs w:val="20"/>
        </w:rPr>
        <w:t xml:space="preserve">O período respectivo de execução do contrato; </w:t>
      </w:r>
    </w:p>
    <w:p>
      <w:pPr>
        <w:pStyle w:val="Normal"/>
        <w:numPr>
          <w:ilvl w:val="0"/>
          <w:numId w:val="7"/>
        </w:numPr>
        <w:tabs>
          <w:tab w:val="clear" w:pos="708"/>
          <w:tab w:val="left" w:pos="563" w:leader="none"/>
        </w:tabs>
        <w:spacing w:lineRule="auto" w:line="276" w:before="57" w:after="57"/>
        <w:jc w:val="both"/>
        <w:rPr/>
      </w:pPr>
      <w:r>
        <w:rPr>
          <w:rFonts w:ascii="Verdana" w:hAnsi="Verdana"/>
          <w:sz w:val="20"/>
          <w:szCs w:val="20"/>
        </w:rPr>
        <w:t xml:space="preserve">O valor a pagar; e </w:t>
      </w:r>
    </w:p>
    <w:p>
      <w:pPr>
        <w:pStyle w:val="Normal"/>
        <w:numPr>
          <w:ilvl w:val="0"/>
          <w:numId w:val="7"/>
        </w:numPr>
        <w:tabs>
          <w:tab w:val="clear" w:pos="708"/>
          <w:tab w:val="left" w:pos="563" w:leader="none"/>
        </w:tabs>
        <w:spacing w:lineRule="auto" w:line="276" w:before="57" w:after="57"/>
        <w:jc w:val="both"/>
        <w:rPr>
          <w:rFonts w:ascii="Verdana" w:hAnsi="Verdana"/>
          <w:sz w:val="20"/>
          <w:szCs w:val="20"/>
        </w:rPr>
      </w:pPr>
      <w:r>
        <w:rPr>
          <w:rFonts w:ascii="Verdana" w:hAnsi="Verdana"/>
          <w:sz w:val="20"/>
          <w:szCs w:val="20"/>
        </w:rPr>
        <w:t>Eventual destaque do valor de retenções tributárias cabíveis.</w:t>
      </w:r>
    </w:p>
    <w:p>
      <w:pPr>
        <w:pStyle w:val="Normal"/>
        <w:tabs>
          <w:tab w:val="clear" w:pos="708"/>
          <w:tab w:val="left" w:pos="563" w:leader="none"/>
        </w:tabs>
        <w:spacing w:lineRule="auto" w:line="276" w:before="57" w:after="57"/>
        <w:ind w:hanging="0" w:left="0" w:right="0"/>
        <w:jc w:val="both"/>
        <w:rPr>
          <w:rFonts w:ascii="Verdana" w:hAnsi="Verdana"/>
          <w:sz w:val="20"/>
          <w:szCs w:val="20"/>
        </w:rPr>
      </w:pPr>
      <w:r>
        <w:rPr>
          <w:rFonts w:ascii="Verdana" w:hAnsi="Verdana"/>
          <w:sz w:val="20"/>
          <w:szCs w:val="20"/>
        </w:rPr>
        <w:t>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ind w:hanging="0" w:left="0" w:right="0"/>
        <w:jc w:val="both"/>
        <w:rPr/>
      </w:pPr>
      <w:r>
        <w:rPr>
          <w:rFonts w:ascii="Verdana" w:hAnsi="Verdana"/>
          <w:sz w:val="20"/>
          <w:szCs w:val="20"/>
        </w:rPr>
        <w:t>3.5. A</w:t>
      </w:r>
      <w:r>
        <w:rPr>
          <w:rFonts w:ascii="Verdana" w:hAnsi="Verdana"/>
          <w:sz w:val="20"/>
          <w:szCs w:val="20"/>
          <w:lang w:eastAsia="en-US"/>
        </w:rPr>
        <w:t xml:space="preserve"> nota fiscal ou instrumento de cobrança equivalente deverá ser obrigatoriamente acompanhado da comprovação da regularidade fiscal</w:t>
      </w:r>
      <w:r>
        <w:rPr>
          <w:rStyle w:val="InternetLink"/>
          <w:rFonts w:ascii="Verdana" w:hAnsi="Verdana"/>
          <w:sz w:val="20"/>
          <w:szCs w:val="20"/>
          <w:lang w:eastAsia="en-US"/>
        </w:rPr>
        <w:t>.</w:t>
      </w:r>
    </w:p>
    <w:p>
      <w:pPr>
        <w:pStyle w:val="Normal"/>
        <w:spacing w:lineRule="auto" w:line="276" w:before="57" w:after="57"/>
        <w:ind w:hanging="0" w:left="0" w:right="0"/>
        <w:jc w:val="both"/>
        <w:rPr>
          <w:rFonts w:ascii="Verdana" w:hAnsi="Verdana"/>
          <w:sz w:val="20"/>
          <w:szCs w:val="20"/>
        </w:rPr>
      </w:pPr>
      <w:r>
        <w:rPr>
          <w:rFonts w:ascii="Verdana" w:hAnsi="Verdana"/>
          <w:sz w:val="20"/>
          <w:szCs w:val="20"/>
        </w:rPr>
        <w:t>3.6. O pagamento será efetuado no prazo de até 30 (trinta) dias úteis contados da finalização da liquidação da despesa.</w:t>
      </w:r>
    </w:p>
    <w:p>
      <w:pPr>
        <w:pStyle w:val="Normal"/>
        <w:spacing w:lineRule="auto" w:line="276" w:before="57" w:after="57"/>
        <w:ind w:hanging="0" w:left="0" w:right="0"/>
        <w:jc w:val="both"/>
        <w:rPr>
          <w:rFonts w:ascii="Verdana" w:hAnsi="Verdana"/>
          <w:sz w:val="20"/>
          <w:szCs w:val="20"/>
        </w:rPr>
      </w:pPr>
      <w:r>
        <w:rPr>
          <w:rFonts w:ascii="Verdana" w:hAnsi="Verdana"/>
          <w:sz w:val="20"/>
          <w:szCs w:val="20"/>
        </w:rPr>
        <w:t>3.7. O pagamento será realizado por meio de ordem bancária, para crédito em banco, agência e conta corrente indicados pelo contratado.</w:t>
      </w:r>
    </w:p>
    <w:p>
      <w:pPr>
        <w:pStyle w:val="Normal"/>
        <w:spacing w:lineRule="auto" w:line="276" w:before="57" w:after="57"/>
        <w:ind w:hanging="0" w:left="0" w:right="0"/>
        <w:jc w:val="both"/>
        <w:rPr>
          <w:rFonts w:ascii="Verdana" w:hAnsi="Verdana"/>
          <w:sz w:val="20"/>
          <w:szCs w:val="20"/>
        </w:rPr>
      </w:pPr>
      <w:r>
        <w:rPr>
          <w:rFonts w:ascii="Verdana" w:hAnsi="Verdana"/>
          <w:sz w:val="20"/>
          <w:szCs w:val="20"/>
        </w:rPr>
        <w:t>3.8. Será considerada data do pagamento o dia em que constar como emitida a ordem bancária para pagamento.</w:t>
      </w:r>
    </w:p>
    <w:p>
      <w:pPr>
        <w:pStyle w:val="Normal"/>
        <w:spacing w:lineRule="auto" w:line="276" w:before="57" w:after="57"/>
        <w:ind w:hanging="0" w:left="0" w:right="0"/>
        <w:jc w:val="both"/>
        <w:rPr>
          <w:rFonts w:ascii="Verdana" w:hAnsi="Verdana"/>
          <w:sz w:val="20"/>
          <w:szCs w:val="20"/>
        </w:rPr>
      </w:pPr>
      <w:r>
        <w:rPr>
          <w:rFonts w:ascii="Verdana" w:hAnsi="Verdana"/>
          <w:sz w:val="20"/>
          <w:szCs w:val="20"/>
        </w:rPr>
        <w:t>3.9. Quando do pagamento, será efetuada a retenção tributária prevista na legislação aplicável.</w:t>
      </w:r>
    </w:p>
    <w:p>
      <w:pPr>
        <w:pStyle w:val="Normal"/>
        <w:spacing w:lineRule="auto" w:line="276" w:before="57" w:after="57"/>
        <w:ind w:hanging="0" w:left="0" w:right="0"/>
        <w:jc w:val="both"/>
        <w:rPr/>
      </w:pPr>
      <w:r>
        <w:rPr>
          <w:rFonts w:ascii="Verdana" w:hAnsi="Verdana"/>
          <w:sz w:val="20"/>
          <w:szCs w:val="20"/>
          <w:lang w:eastAsia="en-US"/>
        </w:rPr>
        <w:t xml:space="preserve">3.10. O contratado regularmente optante pelo Simples Nacional, nos termos da </w:t>
      </w:r>
      <w:hyperlink r:id="rId2">
        <w:r>
          <w:rPr>
            <w:rStyle w:val="ListLabel92"/>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57" w:after="57"/>
        <w:ind w:hanging="0" w:left="0" w:right="0"/>
        <w:jc w:val="both"/>
        <w:rPr>
          <w:rFonts w:ascii="Verdana" w:hAnsi="Verdana"/>
          <w:sz w:val="20"/>
          <w:szCs w:val="20"/>
        </w:rPr>
      </w:pPr>
      <w:r>
        <w:rPr>
          <w:rFonts w:ascii="Verdana" w:hAnsi="Verdana"/>
          <w:sz w:val="20"/>
          <w:szCs w:val="20"/>
          <w:lang w:eastAsia="en-US"/>
        </w:rPr>
        <w:t>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57" w:after="57"/>
        <w:ind w:hanging="0" w:left="0" w:right="0"/>
        <w:jc w:val="both"/>
        <w:rPr>
          <w:rFonts w:ascii="Verdana" w:hAnsi="Verdana"/>
          <w:sz w:val="20"/>
          <w:szCs w:val="20"/>
        </w:rPr>
      </w:pPr>
      <w:r>
        <w:rPr>
          <w:rFonts w:eastAsia="Calibri" w:cs="Calibri" w:ascii="Verdana" w:hAnsi="Verdana"/>
          <w:color w:val="000000"/>
          <w:sz w:val="20"/>
          <w:szCs w:val="20"/>
        </w:rPr>
        <w:t>3.12.</w:t>
      </w:r>
      <w:r>
        <w:rPr>
          <w:rFonts w:ascii="Verdana" w:hAnsi="Verdana"/>
          <w:sz w:val="20"/>
          <w:szCs w:val="20"/>
        </w:rPr>
        <w:t xml:space="preserve"> Após o prazo acima referenciado, será paga multa financeira nos seguintes termos:</w:t>
      </w:r>
    </w:p>
    <w:p>
      <w:pPr>
        <w:pStyle w:val="ListParagraph"/>
        <w:tabs>
          <w:tab w:val="clear" w:pos="708"/>
          <w:tab w:val="left" w:pos="518" w:leader="none"/>
        </w:tabs>
        <w:spacing w:lineRule="auto" w:line="276" w:before="57" w:after="57"/>
        <w:ind w:hanging="0" w:left="0" w:right="0"/>
        <w:contextualSpacing w:val="false"/>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ListParagraph"/>
        <w:tabs>
          <w:tab w:val="clear" w:pos="708"/>
          <w:tab w:val="left" w:pos="518" w:leader="none"/>
        </w:tabs>
        <w:spacing w:lineRule="auto" w:line="276" w:before="57" w:after="57"/>
        <w:ind w:hanging="0" w:left="0" w:right="0"/>
        <w:contextualSpacing w:val="false"/>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76" w:before="57" w:after="57"/>
        <w:ind w:hanging="0" w:left="0" w:right="0"/>
        <w:rPr>
          <w:rFonts w:ascii="Verdana" w:hAnsi="Verdana"/>
          <w:sz w:val="20"/>
          <w:szCs w:val="20"/>
        </w:rPr>
      </w:pPr>
      <w:r>
        <w:rPr>
          <w:rFonts w:cs="Arial" w:ascii="Verdana" w:hAnsi="Verdana"/>
          <w:color w:val="000000"/>
          <w:sz w:val="20"/>
          <w:szCs w:val="20"/>
        </w:rPr>
        <w:t xml:space="preserve">VF = Valor da Nota Fiscal; </w:t>
      </w:r>
    </w:p>
    <w:p>
      <w:pPr>
        <w:pStyle w:val="ListParagraph"/>
        <w:tabs>
          <w:tab w:val="clear" w:pos="708"/>
          <w:tab w:val="left" w:pos="518" w:leader="none"/>
        </w:tabs>
        <w:spacing w:lineRule="auto" w:line="276" w:before="57" w:after="57"/>
        <w:ind w:hanging="0" w:left="0" w:right="0"/>
        <w:contextualSpacing w:val="false"/>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76" w:before="57" w:after="57"/>
        <w:ind w:hanging="0" w:left="0" w:right="0"/>
        <w:jc w:val="both"/>
        <w:rPr>
          <w:rFonts w:ascii="Verdana" w:hAnsi="Verdana"/>
          <w:sz w:val="20"/>
          <w:szCs w:val="20"/>
        </w:rPr>
      </w:pPr>
      <w:r>
        <w:rPr>
          <w:rFonts w:cs="Arial" w:ascii="Verdana" w:hAnsi="Verdana"/>
          <w:color w:val="000000"/>
          <w:sz w:val="20"/>
          <w:szCs w:val="20"/>
        </w:rPr>
        <w:t>3.13. A NOTA FISCAL ELETRÔNICA deverá conter o mesmo CNPJ e razão social apresentados quando na proposta, assim como, o número da contratação, o (s) objeto (s), os valores unitários e totais.</w:t>
      </w:r>
    </w:p>
    <w:p>
      <w:pPr>
        <w:pStyle w:val="Normal"/>
        <w:suppressAutoHyphens w:val="false"/>
        <w:spacing w:lineRule="auto" w:line="276" w:before="57" w:after="57"/>
        <w:ind w:hanging="0" w:left="0" w:right="0"/>
        <w:jc w:val="both"/>
        <w:rPr>
          <w:rFonts w:ascii="Verdana" w:hAnsi="Verdana"/>
          <w:sz w:val="20"/>
          <w:szCs w:val="20"/>
        </w:rPr>
      </w:pPr>
      <w:r>
        <w:rPr>
          <w:rFonts w:cs="Arial" w:ascii="Verdana" w:hAnsi="Verdana"/>
          <w:color w:val="000000"/>
          <w:sz w:val="20"/>
          <w:szCs w:val="20"/>
        </w:rPr>
        <w:t xml:space="preserve">3.14.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76" w:before="57" w:after="57"/>
        <w:ind w:hanging="0" w:left="0" w:right="0"/>
        <w:jc w:val="both"/>
        <w:rPr>
          <w:rFonts w:ascii="Verdana" w:hAnsi="Verdana"/>
          <w:sz w:val="20"/>
          <w:szCs w:val="20"/>
        </w:rPr>
      </w:pPr>
      <w:r>
        <w:rPr>
          <w:rFonts w:cs="Arial" w:ascii="Verdana" w:hAnsi="Verdana"/>
          <w:color w:val="000000"/>
          <w:sz w:val="20"/>
          <w:szCs w:val="20"/>
        </w:rPr>
        <w:t>3.15. O CONTRATANTE poderá deduzir do pagamento importâncias que a qualquer título lhe forem devidos pela empresa CONTRATADA, em decorrência de descumprimento de suas obrigações.</w:t>
      </w:r>
    </w:p>
    <w:p>
      <w:pPr>
        <w:pStyle w:val="ListParagraph"/>
        <w:tabs>
          <w:tab w:val="clear" w:pos="708"/>
          <w:tab w:val="left" w:pos="434" w:leader="none"/>
        </w:tabs>
        <w:overflowPunct w:val="true"/>
        <w:spacing w:lineRule="auto" w:line="276" w:before="57" w:after="57"/>
        <w:ind w:hanging="0" w:left="0" w:right="0"/>
        <w:contextualSpacing w:val="false"/>
        <w:jc w:val="both"/>
        <w:textAlignment w:val="auto"/>
        <w:rPr>
          <w:rFonts w:ascii="Verdana" w:hAnsi="Verdana"/>
          <w:sz w:val="20"/>
          <w:szCs w:val="20"/>
        </w:rPr>
      </w:pPr>
      <w:r>
        <w:rPr>
          <w:rFonts w:eastAsia="Verdana" w:cs="Arial" w:ascii="Verdana" w:hAnsi="Verdana"/>
          <w:sz w:val="20"/>
          <w:szCs w:val="20"/>
          <w:lang w:eastAsia="pt-BR"/>
        </w:rPr>
        <w:t xml:space="preserve">3.16. </w:t>
      </w:r>
      <w:r>
        <w:rPr>
          <w:rFonts w:eastAsia="Verdana" w:cs="Arial" w:ascii="Verdana" w:hAnsi="Verdana"/>
          <w:sz w:val="20"/>
          <w:szCs w:val="20"/>
          <w:lang w:eastAsia="en-US"/>
        </w:rPr>
        <w:t xml:space="preserve">Para a efetivação do pagamento, a CONTRATADA deverá manter as </w:t>
      </w:r>
      <w:r>
        <w:rPr>
          <w:rFonts w:eastAsia="Verdana" w:cs="Arial" w:ascii="Verdana" w:hAnsi="Verdana"/>
          <w:sz w:val="20"/>
          <w:szCs w:val="20"/>
          <w:lang w:eastAsia="pt-BR"/>
        </w:rPr>
        <w:t>condições relativas à proposta de preço e a habilitação</w:t>
      </w:r>
    </w:p>
    <w:p>
      <w:pPr>
        <w:pStyle w:val="Normal"/>
        <w:tabs>
          <w:tab w:val="clear" w:pos="708"/>
          <w:tab w:val="left" w:pos="426" w:leader="none"/>
          <w:tab w:val="left" w:pos="900" w:leader="none"/>
          <w:tab w:val="left" w:pos="1080" w:leader="none"/>
        </w:tabs>
        <w:spacing w:lineRule="auto" w:line="276" w:before="57" w:after="57"/>
        <w:ind w:hanging="0" w:left="0" w:right="0"/>
        <w:jc w:val="both"/>
        <w:rPr>
          <w:rFonts w:ascii="Verdana" w:hAnsi="Verdana" w:cs="Verdana"/>
          <w:sz w:val="20"/>
          <w:szCs w:val="20"/>
        </w:rPr>
      </w:pPr>
      <w:r>
        <w:rPr>
          <w:rFonts w:cs="Verdana"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4.1 </w:t>
      </w:r>
      <w:r>
        <w:rPr>
          <w:rFonts w:cs="Verdana" w:ascii="Verdana" w:hAnsi="Verdana"/>
          <w:sz w:val="20"/>
          <w:szCs w:val="20"/>
        </w:rPr>
        <w:t>Os preços inicialmente contratados são fixos e irreajustáveis no prazo de um ano contado da data do orçamento estimado, em</w:t>
      </w:r>
      <w:r>
        <w:rPr>
          <w:rFonts w:cs="Verdana" w:ascii="Verdana" w:hAnsi="Verdana"/>
          <w:b/>
          <w:bCs/>
          <w:i/>
          <w:iCs/>
          <w:color w:val="FF0000"/>
          <w:sz w:val="20"/>
          <w:szCs w:val="20"/>
        </w:rPr>
        <w:t>__/__/__ (DD/MM/AAAA)</w:t>
      </w:r>
      <w:r>
        <w:rPr>
          <w:rFonts w:cs="Verdana" w:ascii="Verdana" w:hAnsi="Verdana"/>
          <w:sz w:val="20"/>
          <w:szCs w:val="20"/>
        </w:rPr>
        <w:t>.</w:t>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4.2 </w:t>
      </w:r>
      <w:r>
        <w:rPr>
          <w:rFonts w:cs="Verdana" w:ascii="Verdana" w:hAnsi="Verdana"/>
          <w:sz w:val="20"/>
          <w:szCs w:val="20"/>
        </w:rPr>
        <w:t xml:space="preserve">Após o interregno de um ano, e </w:t>
      </w:r>
      <w:bookmarkStart w:id="0" w:name="_Hlk132722410"/>
      <w:r>
        <w:rPr>
          <w:rFonts w:cs="Verdana" w:ascii="Verdana" w:hAnsi="Verdana"/>
          <w:sz w:val="20"/>
          <w:szCs w:val="20"/>
        </w:rPr>
        <w:t xml:space="preserve">independentemente de pedido do contratado, </w:t>
      </w:r>
      <w:bookmarkEnd w:id="0"/>
      <w:r>
        <w:rPr>
          <w:rFonts w:cs="Verdana" w:ascii="Verdana" w:hAnsi="Verdana"/>
          <w:sz w:val="20"/>
          <w:szCs w:val="20"/>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4.3 </w:t>
      </w:r>
      <w:r>
        <w:rPr>
          <w:rFonts w:cs="Verdana" w:ascii="Verdana" w:hAnsi="Verdana"/>
          <w:sz w:val="20"/>
          <w:szCs w:val="20"/>
        </w:rPr>
        <w:t>Nos reajustes subsequentes ao primeiro, o interregno mínimo de um ano será contado a partir dos efeitos financeiros do último reajuste.</w:t>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4.4 </w:t>
      </w:r>
      <w:r>
        <w:rPr>
          <w:rFonts w:cs="Verdana" w:ascii="Verdana" w:hAnsi="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4.5 </w:t>
      </w:r>
      <w:r>
        <w:rPr>
          <w:rFonts w:cs="Verdana" w:ascii="Verdana" w:hAnsi="Verdana"/>
          <w:sz w:val="20"/>
          <w:szCs w:val="20"/>
        </w:rPr>
        <w:t>Nas aferições finais, o(s) índice(s) utilizado(s) para reajuste será(ão), obrigatoriamente, o(s) definitivo(s).</w:t>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4.6 </w:t>
      </w:r>
      <w:r>
        <w:rPr>
          <w:rFonts w:cs="Verdana" w:ascii="Verdana" w:hAnsi="Verdana"/>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4.7 </w:t>
      </w:r>
      <w:r>
        <w:rPr>
          <w:rFonts w:cs="Verdana" w:ascii="Verdana" w:hAnsi="Verdana"/>
          <w:sz w:val="20"/>
          <w:szCs w:val="20"/>
        </w:rPr>
        <w:t>Na ausência de previsão legal quanto ao índice substituto, as partes elegerão novo índice oficial, para reajustamento do preço do valor remanescente, por meio de termo aditivo.</w:t>
      </w:r>
    </w:p>
    <w:p>
      <w:pPr>
        <w:pStyle w:val="Nivel2"/>
        <w:tabs>
          <w:tab w:val="clear" w:pos="0"/>
        </w:tabs>
        <w:spacing w:lineRule="auto" w:line="276" w:before="57" w:after="57"/>
        <w:ind w:hanging="0" w:left="0" w:right="0"/>
        <w:rPr>
          <w:rFonts w:ascii="Verdana" w:hAnsi="Verdana"/>
          <w:sz w:val="20"/>
          <w:szCs w:val="20"/>
        </w:rPr>
      </w:pPr>
      <w:r>
        <w:rPr>
          <w:rFonts w:cs="Verdana" w:ascii="Verdana" w:hAnsi="Verdana"/>
          <w:b/>
          <w:bCs/>
          <w:sz w:val="20"/>
          <w:szCs w:val="20"/>
        </w:rPr>
        <w:t xml:space="preserve">4.8 </w:t>
      </w:r>
      <w:bookmarkStart w:id="1" w:name="_Hlk146015535"/>
      <w:r>
        <w:rPr>
          <w:rFonts w:cs="Verdana" w:ascii="Verdana" w:hAnsi="Verdana"/>
          <w:sz w:val="20"/>
          <w:szCs w:val="20"/>
        </w:rPr>
        <w:t>O reajuste será realizado por apostilamento.</w:t>
      </w:r>
      <w:bookmarkEnd w:id="1"/>
    </w:p>
    <w:p>
      <w:pPr>
        <w:pStyle w:val="Nivel2"/>
        <w:tabs>
          <w:tab w:val="clear" w:pos="0"/>
        </w:tabs>
        <w:spacing w:lineRule="auto" w:line="276" w:before="57" w:after="57"/>
        <w:ind w:hanging="0" w:left="0" w:right="0"/>
        <w:rPr>
          <w:rFonts w:ascii="Verdana" w:hAnsi="Verdana" w:cs="Verdana"/>
          <w:sz w:val="20"/>
          <w:szCs w:val="20"/>
        </w:rPr>
      </w:pPr>
      <w:r>
        <w:rPr>
          <w:rFonts w:cs="Verdana" w:ascii="Verdana" w:hAnsi="Verdana"/>
          <w:sz w:val="20"/>
          <w:szCs w:val="20"/>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5"/>
        </w:numPr>
        <w:tabs>
          <w:tab w:val="clear" w:pos="708"/>
          <w:tab w:val="left" w:pos="567" w:leader="none"/>
        </w:tabs>
        <w:suppressAutoHyphens w:val="false"/>
        <w:overflowPunct w:val="true"/>
        <w:spacing w:before="240" w:after="0"/>
        <w:ind w:hanging="0" w:left="0"/>
        <w:contextualSpacing/>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before="57" w:after="57"/>
        <w:ind w:hanging="0" w:left="0" w:right="0"/>
        <w:jc w:val="both"/>
        <w:rPr>
          <w:rFonts w:ascii="Verdana" w:hAnsi="Verdana"/>
          <w:sz w:val="20"/>
          <w:szCs w:val="20"/>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76" w:before="57" w:after="57"/>
        <w:ind w:hanging="0" w:left="0" w:right="0"/>
        <w:jc w:val="both"/>
        <w:rPr>
          <w:rFonts w:ascii="Verdana" w:hAnsi="Verdana"/>
          <w:sz w:val="20"/>
          <w:szCs w:val="20"/>
        </w:rPr>
      </w:pPr>
      <w:r>
        <w:rPr>
          <w:rFonts w:cs="Verdana" w:ascii="Verdana" w:hAnsi="Verdana"/>
          <w:b/>
          <w:sz w:val="20"/>
          <w:szCs w:val="20"/>
        </w:rPr>
        <w:t xml:space="preserve">5.1 </w:t>
      </w:r>
      <w:r>
        <w:rPr>
          <w:rFonts w:eastAsia="Batang;바탕" w:cs="Verdana" w:ascii="Verdana" w:hAnsi="Verdana"/>
          <w:b/>
          <w:sz w:val="20"/>
          <w:szCs w:val="20"/>
          <w:u w:val="single"/>
        </w:rPr>
        <w:t>Dos recursos orçamentários</w:t>
      </w:r>
      <w:r>
        <w:rPr>
          <w:rFonts w:eastAsia="Batang;바탕" w:cs="Verdana" w:ascii="Verdana" w:hAnsi="Verdana"/>
          <w:sz w:val="20"/>
          <w:szCs w:val="20"/>
        </w:rPr>
        <w:t xml:space="preserve"> – </w:t>
      </w:r>
      <w:r>
        <w:rPr>
          <w:rFonts w:eastAsia="Batang;바탕"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276" w:before="57" w:after="57"/>
        <w:ind w:hanging="0" w:left="0" w:right="0"/>
        <w:jc w:val="both"/>
        <w:rPr>
          <w:rFonts w:ascii="Verdana" w:hAnsi="Verdana"/>
          <w:sz w:val="20"/>
          <w:szCs w:val="20"/>
        </w:rPr>
      </w:pPr>
      <w:r>
        <w:rPr>
          <w:rFonts w:ascii="Verdana" w:hAnsi="Verdana"/>
          <w:b/>
          <w:bCs/>
          <w:sz w:val="20"/>
          <w:szCs w:val="20"/>
          <w:lang w:eastAsia="ar-SA"/>
        </w:rPr>
        <w:t xml:space="preserve"> – </w:t>
      </w:r>
      <w:r>
        <w:rPr>
          <w:rFonts w:ascii="Verdana" w:hAnsi="Verdana"/>
          <w:b/>
          <w:bCs/>
          <w:sz w:val="20"/>
          <w:szCs w:val="20"/>
          <w:lang w:eastAsia="ar-SA"/>
        </w:rPr>
        <w:t>Secretaria Municipal de Saúde</w:t>
      </w:r>
    </w:p>
    <w:p>
      <w:pPr>
        <w:pStyle w:val="Normal"/>
        <w:widowControl/>
        <w:suppressAutoHyphens w:val="true"/>
        <w:overflowPunct w:val="false"/>
        <w:bidi w:val="0"/>
        <w:spacing w:lineRule="auto" w:line="276" w:before="57" w:after="57"/>
        <w:ind w:hanging="0" w:left="0" w:right="0"/>
        <w:jc w:val="both"/>
        <w:rPr>
          <w:rFonts w:ascii="Verdana" w:hAnsi="Verdana" w:cs="Verdana"/>
          <w:sz w:val="20"/>
          <w:szCs w:val="20"/>
        </w:rPr>
      </w:pPr>
      <w:r>
        <w:rPr>
          <w:rFonts w:eastAsia="Batang;바탕" w:cs="Verdana" w:ascii="Verdana" w:hAnsi="Verdana"/>
          <w:b/>
          <w:bCs/>
          <w:color w:val="000000"/>
          <w:sz w:val="20"/>
          <w:szCs w:val="20"/>
          <w:shd w:fill="FFFFFF" w:val="clear"/>
          <w:lang w:eastAsia="ar-SA"/>
        </w:rPr>
        <w:t xml:space="preserve">Projeto/Atividade </w:t>
      </w:r>
      <w:r>
        <w:rPr>
          <w:rFonts w:eastAsia="Batang;바탕" w:cs="Verdana" w:ascii="Verdana" w:hAnsi="Verdana"/>
          <w:b w:val="false"/>
          <w:bCs w:val="false"/>
          <w:color w:val="000000"/>
          <w:sz w:val="20"/>
          <w:szCs w:val="20"/>
          <w:shd w:fill="FFFFFF" w:val="clear"/>
          <w:lang w:eastAsia="ar-SA"/>
        </w:rPr>
        <w:t xml:space="preserve">– 000004000002.1030142032.407 – Manutenção do Programa de Saúde Bucal – </w:t>
      </w:r>
      <w:r>
        <w:rPr>
          <w:rFonts w:eastAsia="Batang;바탕" w:cs="Verdana" w:ascii="Verdana" w:hAnsi="Verdana"/>
          <w:b/>
          <w:bCs/>
          <w:color w:val="000000"/>
          <w:sz w:val="20"/>
          <w:szCs w:val="20"/>
          <w:shd w:fill="FFFFFF" w:val="clear"/>
          <w:lang w:eastAsia="ar-SA"/>
        </w:rPr>
        <w:t>Ficha 534</w:t>
      </w:r>
      <w:r>
        <w:rPr>
          <w:rFonts w:eastAsia="Batang;바탕" w:cs="Verdana" w:ascii="Verdana" w:hAnsi="Verdana"/>
          <w:b w:val="false"/>
          <w:bCs w:val="false"/>
          <w:color w:val="000000"/>
          <w:sz w:val="20"/>
          <w:szCs w:val="20"/>
          <w:shd w:fill="FFFFFF" w:val="clear"/>
          <w:lang w:eastAsia="ar-SA"/>
        </w:rPr>
        <w:t xml:space="preserve"> (OUTROS SERVIÇOS DE TERCEIROS – PESSOA JURÍDICA) – </w:t>
      </w:r>
      <w:r>
        <w:rPr>
          <w:rFonts w:eastAsia="Batang;바탕" w:cs="Verdana" w:ascii="Verdana" w:hAnsi="Verdana"/>
          <w:b/>
          <w:bCs/>
          <w:color w:val="000000"/>
          <w:sz w:val="20"/>
          <w:szCs w:val="20"/>
          <w:shd w:fill="FFFFFF" w:val="clear"/>
          <w:lang w:eastAsia="ar-SA"/>
        </w:rPr>
        <w:t>Fonte de Recurso 160000000007</w:t>
      </w:r>
      <w:r>
        <w:rPr>
          <w:rFonts w:eastAsia="Batang;바탕" w:cs="Verdana" w:ascii="Verdana" w:hAnsi="Verdana"/>
          <w:b w:val="false"/>
          <w:bCs w:val="false"/>
          <w:color w:val="000000"/>
          <w:sz w:val="20"/>
          <w:szCs w:val="20"/>
          <w:shd w:fill="FFFFFF" w:val="clear"/>
          <w:lang w:eastAsia="ar-SA"/>
        </w:rPr>
        <w:t xml:space="preserve"> ficando na responsabilidade recurso </w:t>
      </w:r>
      <w:r>
        <w:rPr>
          <w:rFonts w:eastAsia="Times New Roman" w:cs="Verdana" w:ascii="Verdana" w:hAnsi="Verdana"/>
          <w:b w:val="false"/>
          <w:bCs w:val="false"/>
          <w:color w:val="000000"/>
          <w:kern w:val="0"/>
          <w:sz w:val="20"/>
          <w:szCs w:val="20"/>
          <w:shd w:fill="FFFFFF" w:val="clear"/>
          <w:lang w:val="pt-BR" w:eastAsia="pt-BR" w:bidi="ar-SA"/>
        </w:rPr>
        <w:t>PROGRAMA DE SAÚDE BUCAL.</w:t>
      </w:r>
    </w:p>
    <w:p>
      <w:pPr>
        <w:pStyle w:val="Normal"/>
        <w:tabs>
          <w:tab w:val="clear" w:pos="708"/>
          <w:tab w:val="left" w:pos="10348" w:leader="none"/>
        </w:tabs>
        <w:spacing w:lineRule="auto" w:line="276" w:before="57" w:after="57"/>
        <w:ind w:hanging="0" w:left="0" w:right="0"/>
        <w:jc w:val="both"/>
        <w:rPr>
          <w:rFonts w:ascii="Verdana" w:hAnsi="Verdana" w:cs="Verdana"/>
          <w:sz w:val="20"/>
          <w:szCs w:val="20"/>
        </w:rPr>
      </w:pPr>
      <w:r>
        <w:rPr>
          <w:rFonts w:cs="Verdana"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SEXTA – VIGÊNCIA</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6.1 –</w:t>
      </w:r>
      <w:r>
        <w:rPr>
          <w:rFonts w:cs="Verdana" w:ascii="Verdana" w:hAnsi="Verdana"/>
          <w:sz w:val="20"/>
          <w:szCs w:val="20"/>
        </w:rPr>
        <w:t xml:space="preserve"> A vigência do contrato será de 12 (doze) meses, contados a partir da assinatura do contrato.</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6.2 –</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SÉTIMA – OBRIGAÇÕES DA CONTRATADA</w:t>
      </w:r>
    </w:p>
    <w:p>
      <w:pPr>
        <w:pStyle w:val="PargrafodaLista"/>
        <w:widowControl/>
        <w:suppressAutoHyphens w:val="true"/>
        <w:overflowPunct w:val="false"/>
        <w:bidi w:val="0"/>
        <w:spacing w:before="57" w:after="57"/>
        <w:ind w:hanging="0" w:left="0" w:right="0"/>
        <w:contextualSpacing w:val="false"/>
        <w:jc w:val="both"/>
        <w:rPr/>
      </w:pPr>
      <w:r>
        <w:rPr>
          <w:rFonts w:eastAsia="Cambria" w:cs="Verdana" w:ascii="Verdana" w:hAnsi="Verdana"/>
          <w:b/>
          <w:bCs/>
          <w:color w:val="auto"/>
          <w:kern w:val="0"/>
          <w:sz w:val="20"/>
          <w:szCs w:val="20"/>
          <w:lang w:val="pt-BR" w:eastAsia="pt-BR" w:bidi="ar-SA"/>
        </w:rPr>
        <w:t>7.1</w:t>
      </w:r>
      <w:r>
        <w:rPr>
          <w:rFonts w:cs="Verdana" w:ascii="Verdana" w:hAnsi="Verdana"/>
          <w:sz w:val="20"/>
          <w:szCs w:val="20"/>
        </w:rPr>
        <w:t xml:space="preserve">. </w:t>
      </w:r>
      <w:r>
        <w:rPr>
          <w:rFonts w:cs="Verdana" w:ascii="Verdana" w:hAnsi="Verdana"/>
          <w:b/>
          <w:bCs/>
          <w:sz w:val="20"/>
          <w:szCs w:val="20"/>
        </w:rPr>
        <w:t>OBRIGAÇÕES DA CONTRATADA: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 A contratada assumirá a responsabilidade e o ônus pelo fornecimento de todos os materiais de reposição e materiais de consumo necessários às revisões, fixação, correção de vazamentos de ar e água, limpeza, testes, recargas, calibração, lubrificação e conservação dos equipamentos cuja manutenção seja objeto desta contratação;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 Entende-se por materiais de reposição, de forma exemplificativa: parafusos, roscas, bielas, anéis, borrachas de vedação, fusíveis, garrafas de reservatórios de água dos equipos, correias e correlatos.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7.1.3. Entende-se por material de consumo de forma exemplificativa: álcool, benzina, estopa, flanela, fita, isolante, soldas, graxas, lixas, óleo lubrificante, vaselina, gás, produto de limpeza e biodegradável, necessário a manutenção preventiva dos equipamentos.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7.1.4. Os serviços de manutenção preventiva terão periodicidade mensal.</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7.1.5. A CONTRATADA deverá substituir peças dos equipamentos sempre que verificada sua necessidade, em função do desgaste natural decorrente da utilização, por outra de configuração idêntica ou superior, originais ou similares e novas, por ocasião da execução de manutenção corretiva.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7.1.6. A CONTRATADA deverá comparecer as solicitações de serviços para correção dos defeitos ou falhas em qualquer unidade onde se encontrarem os equipamentos no prazo máximo 24 (vinte e quatro) horas a contar do recebimento da Autorização de fornecimento ou solicitação via e-mail, emitida pelo Fiscal do contrato/coordenador Saúde Bucal, sendo prestado o atendimento no período compreendido entre 8:00hs e 16hs de segunda a quinta feira e nas sextas-feiras de 7:00hs às 13 horas, exceto feriados, nos locais onde se encontram instalados os equipamentos.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7.1.7. Os serviços de manutenção preventiva e corretiva sempre que possível, deverão ser desenvolvidos no período indicado no item 16.1.6, entretanto, caso a natureza do serviço a ser executado possa causar interrupções no funcionamento dos sistemas, ou possa causar qualquer problema ao normal funcionamento dos diversos setores da SEMUS, excepcionalmente tais serviços poderão ser prorrogados para outros horários e dias, desde que não gerem pagamento de horas extras e/ou</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7.1.9.adicional noturno.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7.1.8. A CONTRATADA deverá emitir relatório circunstanciado, especificando a causa de problema apresentado e indicando a necessidade, ou não, da substituição de peças, componentes ou acessórios, no prazo máximo de 24 (vinte e quatro) horas a contar do comparecimento ao local.</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7.1.9. No caso de impossibilidade de identificação de defeito técnico no local, a CONTRATADA poderá remover o equipamento, devendo o relatório circunstanciado  ser apresentado no máximo em 48 (quarenta e oito) horas a contar do comparecimento ao local.</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7.1.10. Todo equipamento componente ou peça que necessitar ser removido para conserto em oficina necessitará de prévia autorização do fiscal do contrato. As despesas com a retirada, remessa, a devolução e a posterior reinstalação correrão por conta da CONTRATADA.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7.1.11. Havendo necessidade de substituição de peças, a CONTRATADA deverá realizar o reparo no prazo máximo de 03 (três) dias úteis, seja no local onde estão instalados os equipamentos ou em oficina, a contar da aprovação do serviço pelo fiscal do contrato.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7.1.12. Não havendo necessidade de substituição de peças, o prazo será de 24 (vinte e quatro) horas, contados a partir da aprovação do serviço pelo fiscal do contrato.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7.1.13.Dentro dos prazos estipulados nos itens 16.1.11 e 16.1.12, fica assegurado a SEMUS que o técnico da contratada deverá sanar o defeito causador da paralisação dos equipamentos.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7.1.14. Nos equipamentos que se encontrem no período de garantia, os serviços de manutenção corretiva somente poderão ser executados após a constatação de que o problema não decorre de defeito coberto pela garantia e autorização expressa da SEMUS&gt;</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7.1.15. Ficando constatado que o problema do equipamento sob garantia decorre de defeito de fabricação, a CONTRATADA comunicará o fato a SEMUS no prazo de 24 (vinte e quatro) horas, mediante emissão de laudo técnico assinado pelo técnico responsável pela condução dos serviços, a fim de que sejam tomadas as providências necessárias.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7.1.16. Caso a CONTRATADA execute os serviços a que se refere o item 16.1.14 e 16.1.15 e disto resulte a perda da garantia oferecida, ela assumirá durante o período remanescente da garantia todo ônus a que atualmente está su jeito o fabricante do equipamento.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7.1.17. Durante o prazo de garantia dos equipamentos será atribuída à CONTRATADA a responsabilidade por eventuais procedimentos ou omissões que contribuam para a extinção da garantia determinada pelo fabricante.</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7.1.18. A CONTRATADA sempre que for realizar manutenção corretiva, no prazo máximo de 03 (três) dias úteis contados da conclusão do reparo, deverá encaminhar ao fiscal do contrato Relatório Técnico de todos os bens patrimoniais atendidos, no qual deverá constar a descrição dos serviços e do defeito apresentado, as peças substituídas, quando for o caso, bem como, o tipo de bem nº de patrimônio, data do reparo e prazo de garantia, tanto do serviço quanto das peças.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7.1.19. A CONTRATADA deverá apresentar relatório Técnico mensal relativo à manutenção preventiva, no prazo máximo de 03 (três) dias úteis após a realização da mesma, no qual deverá constar a relação dos serviços realizados, bem como o fornecimento e aplicação de materiais de reposição, quando for o caso.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7.1.20. Cumprir fielmente os requisitos deste TR, instrumentos de convocação e seus anexos de forma que os serviços contratados sejam realizados com esmero e perfeição, dentro do prazo.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7.1.21. Fornecer a Gestão do contrato os nomes dos empregados autorizados a tratar com a SEMUS.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7.1.22. Comunicar, imediatamente por intermédio do Fiscal do contrato toda e qualquer irregularidade ou dificuldade que impossibilite a execução do contrato.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7.1.23. Responsabilizar-se na forma da lei por quaisquer danos causados aos bens da SEMUS ou a terceiros, decorrentes de sua culpa ou dolo na execução do contrato, não excluindo ou reduzindo esta responsabilidade em razão da existência de fiscalização do Fiscal do contrato/SEMUS.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7.1.24. Restituir ao término do prazo de vigência contratual, todo e qualquer equipamento pertencente a SEMUS que esteja sob sua guarda, em perfeito e regular funcionamento;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7.1.25. Utilizar ferramentas, mão de obra, equipamentos, utensílios e produtos necessários à execução dos serviços, sem ônus adicional para a SEMUS;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7.1.26. Utilizar nos equipamentos peças novas e originais ou similares recomendadas pelo fabricante, de configuração idêntica ou superior por ocasião de manutenção corretiva.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7.1.27. Retirar e devolver o equipamento que precisar de manutenção fora das dependências da SEMUS, no local determinado pelo fiscal do contrato, arcando com as despesas de retirada e devolução.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7.1.28. Em caso de necessidade de substituição de equipamentos, quando for verificada que não será possível o seu ajuste e/ou reparo, a empresa contratada deverá emitir laudo técnico ressaltando a condenação do aparelho, sendo que a contratante será responsável por providenciar um novo equipamento para o local e ficará a cargo da contratada a devida instalação, salvo se a aquisição do novo objeto já estiver contemplando sua instalação, evitando assim possível perda de garantia do mesmo.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7.1.29. Quando da necessidade de retirada de equipamento para realização de manutenção que não puder ser realizada no local, a mesma deverá ser efetuada em oficina da contratada, esta assumirá a responsabilidade da retirada, transporte e reinstalação do equipamento, sem quaisquer ônus ao contratante.</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7.1.30. Deixar os equipamentos em condições de perfeito e regular funcionamento através de pessoal treinado e especializado (respaldados com todas as documentações exigidas neste TR), não se admitindo a transferência de responsabilidade a terceiros ou fabricantes dos mesmos.</w:t>
      </w:r>
    </w:p>
    <w:p>
      <w:pPr>
        <w:pStyle w:val="Normal"/>
        <w:spacing w:lineRule="auto" w:line="276" w:before="57" w:after="57"/>
        <w:ind w:right="0"/>
        <w:jc w:val="both"/>
        <w:rPr>
          <w:rFonts w:ascii="Verdana" w:hAnsi="Verdana" w:cs="Verdana"/>
          <w:sz w:val="20"/>
          <w:szCs w:val="20"/>
        </w:rPr>
      </w:pPr>
      <w:r>
        <w:rPr>
          <w:rFonts w:cs="Arial" w:ascii="Verdana" w:hAnsi="Verdana"/>
          <w:color w:val="000000"/>
          <w:sz w:val="20"/>
          <w:szCs w:val="20"/>
          <w:lang w:eastAsia="en-US"/>
        </w:rPr>
        <w:t>7.1.31. A fiscalização não exclui nem reduz a responsabilidade da CONTRATADA perante a SEMUS e/ou terceiros.</w:t>
      </w:r>
    </w:p>
    <w:p>
      <w:pPr>
        <w:pStyle w:val="ListParagraph"/>
        <w:tabs>
          <w:tab w:val="clear" w:pos="708"/>
          <w:tab w:val="left" w:pos="426" w:leader="none"/>
        </w:tabs>
        <w:spacing w:lineRule="auto" w:line="276" w:before="57" w:after="57"/>
        <w:ind w:hanging="0" w:left="0" w:right="0"/>
        <w:contextualSpacing w:val="false"/>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OITAVA – OBRIGAÇÕES DA CONTRATANTE</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8.1. Acompanhar e fiscalizar a execução do contrato, por servidor especialmente designado pelo Secretário Municipal de Saúde, podendo sustar, recusar quaisquer serviços prestados em desacordo com as condições e exigências especificadas neste TR.</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8.2. Proporcionar todas as facilidades para que a CONTRATADA possa cumprir a obrigação de prestação dos serviços dentro das normas do contrato.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8.3. Notificar por escrito à CONTRATADA as ocorrências de eventuais imperfeiçoes no curso da execução dos serviços, fixando prazo para sua correção.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8.4. Efetuar o pagamento à CONTRATADA nos termos da contratação.</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8.5. Aplicar à CONTRATADA as sanções cabíveis;</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8.6. Documentar as ocorrências havidas na execução contratual;</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8.7. Prestar informações e esclarecimentos, atinentes ao objeto contratual que venham a ser solicitados pela CONTRATADA.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8.8. Publicar os extratos contratuais e de seus aditivos, se houver, no Diário Oficial do Estado, até o quinto dia útil do mês seguinte ao da assinatura, contando que isso ocorra dentro de 30(trinta) dias, contados da referida assinatura;</w:t>
      </w:r>
    </w:p>
    <w:p>
      <w:pPr>
        <w:pStyle w:val="Normal"/>
        <w:spacing w:lineRule="auto" w:line="276" w:before="57" w:after="57"/>
        <w:ind w:right="0"/>
        <w:jc w:val="both"/>
        <w:rPr>
          <w:rFonts w:ascii="Verdana" w:hAnsi="Verdana" w:cs="Verdana"/>
          <w:sz w:val="20"/>
          <w:szCs w:val="20"/>
        </w:rPr>
      </w:pPr>
      <w:r>
        <w:rPr>
          <w:rFonts w:cs="Verdana" w:ascii="Verdana" w:hAnsi="Verdana"/>
          <w:sz w:val="20"/>
          <w:szCs w:val="20"/>
        </w:rPr>
        <w:t>8.9. Exigir o imediato afastamento e substituição de qualquer empregado ou preposto que não cumpra as normas da Prefeitura Municipal de São Gabriel da Palha ES, na prestação dos serviços, que produza complicações para a fiscalização, que adote postura inconveniente ou incompatível com o exercício das funções que lhe foram atribuídas.</w:t>
      </w:r>
    </w:p>
    <w:p>
      <w:pPr>
        <w:pStyle w:val="Normal"/>
        <w:spacing w:lineRule="auto" w:line="276" w:before="57" w:after="57"/>
        <w:ind w:right="0"/>
        <w:jc w:val="both"/>
        <w:rPr>
          <w:rFonts w:ascii="Verdana" w:hAnsi="Verdana" w:cs="Verdana"/>
          <w:sz w:val="20"/>
          <w:szCs w:val="20"/>
        </w:rPr>
      </w:pPr>
      <w:r>
        <w:rPr>
          <w:rFonts w:cs="Arial" w:ascii="Verdana" w:hAnsi="Verdana"/>
          <w:color w:val="000000"/>
          <w:sz w:val="20"/>
          <w:szCs w:val="20"/>
          <w:lang w:eastAsia="en-US"/>
        </w:rPr>
        <w:t>8.10. Efetuar o pagamento à CONTRATADA mensalmente, até 30º (trigésimo) dia do mês subsequente ao da prestação dos serviços, mediante apresentação de nota fiscal eletrônica/fatura, devidamente atestada pelo fiscal do contrato.</w:t>
      </w:r>
    </w:p>
    <w:p>
      <w:pPr>
        <w:pStyle w:val="ListParagraph"/>
        <w:tabs>
          <w:tab w:val="clear" w:pos="708"/>
          <w:tab w:val="left" w:pos="426" w:leader="none"/>
        </w:tabs>
        <w:spacing w:lineRule="auto" w:line="276" w:before="57" w:after="57"/>
        <w:ind w:hanging="0" w:left="0" w:right="0"/>
        <w:contextualSpacing w:val="false"/>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NONA – DA FISCALIZAÇÃO</w:t>
      </w:r>
    </w:p>
    <w:p>
      <w:pPr>
        <w:pStyle w:val="Normal"/>
        <w:tabs>
          <w:tab w:val="clear" w:pos="708"/>
          <w:tab w:val="left" w:pos="378" w:leader="none"/>
        </w:tabs>
        <w:spacing w:lineRule="auto" w:line="276" w:before="57" w:after="57"/>
        <w:ind w:hanging="0" w:left="0" w:right="0"/>
        <w:jc w:val="both"/>
        <w:rPr>
          <w:rFonts w:ascii="Verdana" w:hAnsi="Verdana"/>
          <w:sz w:val="20"/>
          <w:szCs w:val="20"/>
        </w:rPr>
      </w:pPr>
      <w:r>
        <w:rPr>
          <w:rFonts w:cs="Verdana" w:ascii="Verdana" w:hAnsi="Verdana"/>
          <w:b/>
          <w:sz w:val="20"/>
          <w:szCs w:val="20"/>
        </w:rPr>
        <w:t>9.1 –</w:t>
      </w:r>
      <w:r>
        <w:rPr>
          <w:rFonts w:cs="Verdana" w:ascii="Verdana" w:hAnsi="Verdana"/>
          <w:sz w:val="20"/>
          <w:szCs w:val="20"/>
        </w:rPr>
        <w:t xml:space="preserve"> A fiscalização do objeto deste contrato será exercida pelo Servidor da Secretaria Municipal de Saúde, xxxxxxxxxxxxxxxxxxxxxxxxxxxxxxx nomeado através de Portaria, nos termos do Art. 117 da Lei nº 14.133/2021, que deverá atestar a realização dos serviços contratados, 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pPr>
        <w:pStyle w:val="Heading3"/>
        <w:numPr>
          <w:ilvl w:val="0"/>
          <w:numId w:val="0"/>
        </w:numPr>
        <w:spacing w:lineRule="auto" w:line="276" w:before="57" w:after="57"/>
        <w:ind w:hanging="0" w:left="0" w:right="0"/>
        <w:rPr>
          <w:rFonts w:ascii="Verdana" w:hAnsi="Verdana"/>
          <w:sz w:val="20"/>
          <w:szCs w:val="20"/>
        </w:rPr>
      </w:pPr>
      <w:r>
        <w:rPr>
          <w:rFonts w:cs="Verdana" w:ascii="Verdana" w:hAnsi="Verdana"/>
          <w:b/>
          <w:sz w:val="20"/>
          <w:szCs w:val="20"/>
        </w:rPr>
        <w:t xml:space="preserve">9.2 – </w:t>
      </w:r>
      <w:r>
        <w:rPr>
          <w:rFonts w:cs="Verdana" w:ascii="Verdana" w:hAnsi="Verdana"/>
          <w:sz w:val="20"/>
          <w:szCs w:val="20"/>
        </w:rPr>
        <w:t xml:space="preserve">A execução deste Contrato será acompanhada pela fiscal citada, </w:t>
      </w:r>
      <w:r>
        <w:rPr>
          <w:rFonts w:eastAsia="Batang;바탕" w:cs="Verdana" w:ascii="Verdana" w:hAnsi="Verdana"/>
          <w:sz w:val="20"/>
          <w:szCs w:val="20"/>
        </w:rPr>
        <w:t>que deverá atestar a realização dos serviços, para cumprimento das normas estabelecidas nos Artigos 62 e 63 da Lei nº 4.320/64.</w:t>
      </w:r>
    </w:p>
    <w:p>
      <w:pPr>
        <w:pStyle w:val="Normal"/>
        <w:tabs>
          <w:tab w:val="clear" w:pos="708"/>
          <w:tab w:val="left" w:pos="142" w:leader="none"/>
        </w:tabs>
        <w:spacing w:lineRule="auto" w:line="276" w:before="57" w:after="57"/>
        <w:ind w:hanging="0" w:left="0" w:right="0"/>
        <w:jc w:val="both"/>
        <w:rPr>
          <w:rFonts w:ascii="Verdana" w:hAnsi="Verdana"/>
          <w:sz w:val="20"/>
          <w:szCs w:val="20"/>
        </w:rPr>
      </w:pPr>
      <w:r>
        <w:rPr>
          <w:rFonts w:cs="Verdana" w:ascii="Verdana" w:hAnsi="Verdana"/>
          <w:b/>
          <w:sz w:val="20"/>
          <w:szCs w:val="20"/>
        </w:rPr>
        <w:t xml:space="preserve">9.3 – </w:t>
      </w:r>
      <w:r>
        <w:rPr>
          <w:rFonts w:cs="Verdana" w:ascii="Verdana" w:hAnsi="Verdana"/>
          <w:sz w:val="20"/>
          <w:szCs w:val="20"/>
        </w:rPr>
        <w:t>As decisões e providências que ultrapassarem a competência do servidor designado para o acompanhamento e a fiscalização dos serviços deverão ser solicitadas a Administração Municipal, em tempo hábil para a adoção das medidas convenientes.</w:t>
      </w:r>
    </w:p>
    <w:p>
      <w:pPr>
        <w:pStyle w:val="Normal"/>
        <w:tabs>
          <w:tab w:val="clear" w:pos="708"/>
          <w:tab w:val="left" w:pos="142" w:leader="none"/>
        </w:tabs>
        <w:spacing w:lineRule="auto" w:line="276" w:before="57" w:after="57"/>
        <w:ind w:hanging="0" w:left="0" w:right="0"/>
        <w:jc w:val="both"/>
        <w:rPr>
          <w:rFonts w:ascii="Verdana" w:hAnsi="Verdana"/>
          <w:sz w:val="20"/>
          <w:szCs w:val="20"/>
        </w:rPr>
      </w:pPr>
      <w:r>
        <w:rPr>
          <w:rFonts w:cs="Verdana" w:ascii="Verdana" w:hAnsi="Verdana"/>
          <w:b/>
          <w:bCs/>
          <w:sz w:val="20"/>
          <w:szCs w:val="20"/>
        </w:rPr>
        <w:t xml:space="preserve">9.4 – </w:t>
      </w:r>
      <w:r>
        <w:rPr>
          <w:rFonts w:cs="Verdana" w:ascii="Verdana" w:hAnsi="Verdana"/>
          <w:sz w:val="20"/>
          <w:szCs w:val="20"/>
        </w:rPr>
        <w:t>A fiscalização deverá se atentar para o disposto no Art. 50, da Lei Federal nº 14.133, de 1º de abril de 2021.</w:t>
      </w:r>
    </w:p>
    <w:p>
      <w:pPr>
        <w:pStyle w:val="Normal"/>
        <w:tabs>
          <w:tab w:val="clear" w:pos="708"/>
          <w:tab w:val="left" w:pos="142" w:leader="none"/>
        </w:tabs>
        <w:spacing w:lineRule="auto" w:line="276" w:before="57" w:after="57"/>
        <w:ind w:hanging="0" w:left="0" w:right="0"/>
        <w:jc w:val="both"/>
        <w:rPr>
          <w:rFonts w:ascii="Verdana" w:hAnsi="Verdana"/>
          <w:sz w:val="20"/>
          <w:szCs w:val="20"/>
        </w:rPr>
      </w:pPr>
      <w:r>
        <w:rPr>
          <w:rFonts w:ascii="Verdana" w:hAnsi="Verdana"/>
          <w:sz w:val="20"/>
          <w:szCs w:val="20"/>
        </w:rPr>
      </w:r>
    </w:p>
    <w:p>
      <w:pPr>
        <w:pStyle w:val="Normal"/>
        <w:widowControl/>
        <w:tabs>
          <w:tab w:val="clear" w:pos="708"/>
          <w:tab w:val="left" w:pos="142" w:leader="none"/>
        </w:tabs>
        <w:suppressAutoHyphens w:val="true"/>
        <w:bidi w:val="0"/>
        <w:spacing w:lineRule="auto" w:line="276" w:before="57" w:after="57"/>
        <w:ind w:hanging="0" w:left="1701" w:right="0"/>
        <w:jc w:val="both"/>
        <w:rPr/>
      </w:pPr>
      <w:r>
        <w:rPr>
          <w:rStyle w:val="Strong"/>
          <w:rFonts w:cs="Verdana" w:ascii="Verdana" w:hAnsi="Verdana"/>
          <w:i/>
          <w:iCs/>
          <w:sz w:val="18"/>
          <w:szCs w:val="18"/>
        </w:rPr>
        <w:t xml:space="preserve">Art. 50 </w:t>
      </w:r>
      <w:r>
        <w:rPr>
          <w:rFonts w:cs="Verdana" w:ascii="Verdana" w:hAnsi="Verdana"/>
          <w:b/>
          <w:bCs/>
          <w:i/>
          <w:iCs/>
          <w:sz w:val="18"/>
          <w:szCs w:val="18"/>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pPr>
        <w:pStyle w:val="Normal"/>
        <w:widowControl/>
        <w:suppressAutoHyphens w:val="true"/>
        <w:bidi w:val="0"/>
        <w:spacing w:lineRule="auto" w:line="276" w:before="57" w:after="57"/>
        <w:ind w:hanging="0" w:left="1701" w:right="0"/>
        <w:rPr/>
      </w:pPr>
      <w:r>
        <w:rPr>
          <w:rStyle w:val="Strong"/>
          <w:rFonts w:cs="Verdana" w:ascii="Verdana" w:hAnsi="Verdana"/>
          <w:i/>
          <w:iCs/>
          <w:sz w:val="18"/>
          <w:szCs w:val="18"/>
        </w:rPr>
        <w:t xml:space="preserve">I – </w:t>
      </w:r>
      <w:r>
        <w:rPr>
          <w:rFonts w:cs="Verdana" w:ascii="Verdana" w:hAnsi="Verdana"/>
          <w:b/>
          <w:bCs/>
          <w:i/>
          <w:iCs/>
          <w:sz w:val="18"/>
          <w:szCs w:val="18"/>
        </w:rPr>
        <w:t>registro de ponto;</w:t>
      </w:r>
    </w:p>
    <w:p>
      <w:pPr>
        <w:pStyle w:val="Normal"/>
        <w:widowControl/>
        <w:suppressAutoHyphens w:val="true"/>
        <w:bidi w:val="0"/>
        <w:spacing w:lineRule="auto" w:line="276" w:before="57" w:after="57"/>
        <w:ind w:hanging="0" w:left="1701" w:right="0"/>
        <w:rPr/>
      </w:pPr>
      <w:r>
        <w:rPr>
          <w:rStyle w:val="Strong"/>
          <w:rFonts w:cs="Verdana" w:ascii="Verdana" w:hAnsi="Verdana"/>
          <w:i/>
          <w:iCs/>
          <w:sz w:val="18"/>
          <w:szCs w:val="18"/>
        </w:rPr>
        <w:t xml:space="preserve">II – </w:t>
      </w:r>
      <w:r>
        <w:rPr>
          <w:rFonts w:cs="Verdana" w:ascii="Verdana" w:hAnsi="Verdana"/>
          <w:b/>
          <w:bCs/>
          <w:i/>
          <w:iCs/>
          <w:sz w:val="18"/>
          <w:szCs w:val="18"/>
        </w:rPr>
        <w:t>recibo de pagamento de salários, adicionais, horas extras, repouso semanal remunerado e décimo terceiro salário;</w:t>
      </w:r>
    </w:p>
    <w:p>
      <w:pPr>
        <w:pStyle w:val="Normal"/>
        <w:widowControl/>
        <w:suppressAutoHyphens w:val="true"/>
        <w:bidi w:val="0"/>
        <w:spacing w:lineRule="auto" w:line="276" w:before="57" w:after="57"/>
        <w:ind w:hanging="0" w:left="1701" w:right="0"/>
        <w:rPr/>
      </w:pPr>
      <w:r>
        <w:rPr>
          <w:rStyle w:val="Strong"/>
          <w:rFonts w:cs="Verdana" w:ascii="Verdana" w:hAnsi="Verdana"/>
          <w:i/>
          <w:iCs/>
          <w:sz w:val="18"/>
          <w:szCs w:val="18"/>
        </w:rPr>
        <w:t xml:space="preserve">III – </w:t>
      </w:r>
      <w:r>
        <w:rPr>
          <w:rFonts w:cs="Verdana" w:ascii="Verdana" w:hAnsi="Verdana"/>
          <w:b/>
          <w:bCs/>
          <w:i/>
          <w:iCs/>
          <w:sz w:val="18"/>
          <w:szCs w:val="18"/>
        </w:rPr>
        <w:t>comprovante de depósito do FGTS;</w:t>
      </w:r>
    </w:p>
    <w:p>
      <w:pPr>
        <w:pStyle w:val="Normal"/>
        <w:widowControl/>
        <w:suppressAutoHyphens w:val="true"/>
        <w:bidi w:val="0"/>
        <w:spacing w:lineRule="auto" w:line="276" w:before="57" w:after="57"/>
        <w:ind w:hanging="0" w:left="1701" w:right="0"/>
        <w:rPr/>
      </w:pPr>
      <w:r>
        <w:rPr>
          <w:rStyle w:val="Strong"/>
          <w:rFonts w:cs="Verdana" w:ascii="Verdana" w:hAnsi="Verdana"/>
          <w:i/>
          <w:iCs/>
          <w:sz w:val="18"/>
          <w:szCs w:val="18"/>
        </w:rPr>
        <w:t xml:space="preserve">IV – </w:t>
      </w:r>
      <w:r>
        <w:rPr>
          <w:rFonts w:cs="Verdana" w:ascii="Verdana" w:hAnsi="Verdana"/>
          <w:b/>
          <w:bCs/>
          <w:i/>
          <w:iCs/>
          <w:sz w:val="18"/>
          <w:szCs w:val="18"/>
        </w:rPr>
        <w:t>recibo de concessão e pagamento de férias e do respectivo adicional;</w:t>
      </w:r>
    </w:p>
    <w:p>
      <w:pPr>
        <w:pStyle w:val="Normal"/>
        <w:widowControl/>
        <w:suppressAutoHyphens w:val="true"/>
        <w:bidi w:val="0"/>
        <w:spacing w:lineRule="auto" w:line="276" w:before="57" w:after="57"/>
        <w:ind w:hanging="0" w:left="1701" w:right="0"/>
        <w:rPr/>
      </w:pPr>
      <w:r>
        <w:rPr>
          <w:rStyle w:val="Strong"/>
          <w:rFonts w:cs="Verdana" w:ascii="Verdana" w:hAnsi="Verdana"/>
          <w:i/>
          <w:iCs/>
          <w:sz w:val="18"/>
          <w:szCs w:val="18"/>
        </w:rPr>
        <w:t xml:space="preserve">V – </w:t>
      </w:r>
      <w:r>
        <w:rPr>
          <w:rFonts w:cs="Verdana" w:ascii="Verdana" w:hAnsi="Verdana"/>
          <w:b/>
          <w:bCs/>
          <w:i/>
          <w:iCs/>
          <w:sz w:val="18"/>
          <w:szCs w:val="18"/>
        </w:rPr>
        <w:t>recibo de quitação de obrigações trabalhistas e previdenciárias dos empregados dispensados até a data da extinção do contrato;</w:t>
      </w:r>
    </w:p>
    <w:p>
      <w:pPr>
        <w:pStyle w:val="Normal"/>
        <w:widowControl/>
        <w:suppressAutoHyphens w:val="true"/>
        <w:bidi w:val="0"/>
        <w:spacing w:lineRule="auto" w:line="276" w:before="57" w:after="57"/>
        <w:ind w:hanging="0" w:left="1701" w:right="0"/>
        <w:rPr/>
      </w:pPr>
      <w:r>
        <w:rPr>
          <w:rStyle w:val="Strong"/>
          <w:rFonts w:cs="Verdana" w:ascii="Verdana" w:hAnsi="Verdana"/>
          <w:i/>
          <w:iCs/>
          <w:sz w:val="18"/>
          <w:szCs w:val="18"/>
        </w:rPr>
        <w:t xml:space="preserve">VI – </w:t>
      </w:r>
      <w:r>
        <w:rPr>
          <w:rFonts w:cs="Verdana" w:ascii="Verdana" w:hAnsi="Verdana"/>
          <w:b/>
          <w:bCs/>
          <w:i/>
          <w:iCs/>
          <w:sz w:val="18"/>
          <w:szCs w:val="18"/>
        </w:rPr>
        <w:t>recibo de pagamento de vale-transporte e vale-alimentação, na forma prevista em norma coletiva.</w:t>
      </w:r>
    </w:p>
    <w:p>
      <w:pPr>
        <w:pStyle w:val="Normal"/>
        <w:tabs>
          <w:tab w:val="clear" w:pos="708"/>
          <w:tab w:val="left" w:pos="142" w:leader="none"/>
        </w:tabs>
        <w:spacing w:lineRule="auto" w:line="276" w:before="57" w:after="57"/>
        <w:ind w:hanging="0" w:left="0" w:right="0"/>
        <w:jc w:val="both"/>
        <w:rPr>
          <w:rFonts w:ascii="Verdana" w:hAnsi="Verdana"/>
          <w:b/>
          <w:bCs/>
          <w:sz w:val="20"/>
          <w:szCs w:val="20"/>
        </w:rPr>
      </w:pPr>
      <w:r>
        <w:rPr>
          <w:rFonts w:ascii="Verdana" w:hAnsi="Verdana"/>
          <w:b/>
          <w:bCs/>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DÉCIMA – DAS PENALIDADES.</w:t>
      </w:r>
    </w:p>
    <w:p>
      <w:pPr>
        <w:pStyle w:val="Corpodetexto1"/>
        <w:overflowPunct w:val="true"/>
        <w:spacing w:lineRule="auto" w:line="276" w:before="57" w:after="57"/>
        <w:ind w:hanging="0" w:left="0" w:right="0"/>
        <w:jc w:val="both"/>
        <w:textAlignment w:val="auto"/>
        <w:rPr>
          <w:rFonts w:ascii="Verdana" w:hAnsi="Verdana"/>
          <w:sz w:val="20"/>
          <w:szCs w:val="20"/>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true"/>
        <w:spacing w:lineRule="auto" w:line="276" w:before="57" w:after="57"/>
        <w:ind w:hanging="0" w:left="0" w:right="0"/>
        <w:jc w:val="both"/>
        <w:textAlignment w:val="auto"/>
        <w:rPr>
          <w:rFonts w:ascii="Verdana" w:hAnsi="Verdana"/>
          <w:sz w:val="20"/>
          <w:szCs w:val="20"/>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76" w:before="57" w:after="57"/>
        <w:ind w:hanging="0" w:left="0" w:right="0"/>
        <w:jc w:val="both"/>
        <w:rPr>
          <w:rFonts w:ascii="Verdana" w:hAnsi="Verdana"/>
          <w:sz w:val="20"/>
          <w:szCs w:val="20"/>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before="57" w:after="57"/>
        <w:ind w:hanging="0" w:left="0" w:right="0"/>
        <w:jc w:val="both"/>
        <w:rPr>
          <w:rFonts w:ascii="Verdana" w:hAnsi="Verdana"/>
          <w:sz w:val="20"/>
          <w:szCs w:val="20"/>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76" w:before="57" w:after="57"/>
        <w:ind w:hanging="0" w:left="0" w:right="0"/>
        <w:jc w:val="both"/>
        <w:rPr>
          <w:rFonts w:ascii="Verdana" w:hAnsi="Verdana"/>
          <w:sz w:val="20"/>
          <w:szCs w:val="20"/>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true"/>
        <w:spacing w:lineRule="auto" w:line="276" w:before="57" w:after="57"/>
        <w:ind w:hanging="0" w:left="0" w:right="0"/>
        <w:jc w:val="both"/>
        <w:textAlignment w:val="auto"/>
        <w:rPr>
          <w:rFonts w:ascii="Verdana" w:hAnsi="Verdana"/>
          <w:sz w:val="20"/>
          <w:szCs w:val="20"/>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true"/>
        <w:spacing w:lineRule="auto" w:line="276" w:before="57" w:after="57"/>
        <w:ind w:hanging="0" w:left="0" w:right="0"/>
        <w:jc w:val="both"/>
        <w:textAlignment w:val="auto"/>
        <w:rPr>
          <w:rFonts w:ascii="Verdana" w:hAnsi="Verdana"/>
          <w:sz w:val="20"/>
          <w:szCs w:val="20"/>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true"/>
        <w:spacing w:lineRule="auto" w:line="276" w:before="57" w:after="57"/>
        <w:ind w:hanging="0" w:left="0" w:right="0"/>
        <w:jc w:val="both"/>
        <w:textAlignment w:val="auto"/>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DÉCIMA PRIMEIRA – RESCISÃO DO CONTRATO</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 xml:space="preserve">11.1 </w:t>
      </w:r>
      <w:r>
        <w:rPr>
          <w:rFonts w:cs="Verdana" w:ascii="Verdana" w:hAnsi="Verdana"/>
          <w:sz w:val="20"/>
          <w:szCs w:val="20"/>
        </w:rPr>
        <w:t>A inexecução total ou parcial do contrato enseja a sua rescisão, com as consequências contratuais e as previstas em lei, bem como a aplicação das multas e outras penalidades previstas neste instrumento.</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O não cumprimento de cláusulas contratuais, especificações ou prazos;</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O cumprimento irregular de cláusulas contratuais, especificações ou prazos;</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A subcontratação do seu objeto, sem a devida autorização do CONTRATANTE;</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A decretação de falência ou instauração de insolvência civil;</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A dissolução da sociedade;</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A alteração social ou modificação da finalidade ou da estrutura da empresa que, a juízo da CONTRATANTE, prejudique a execução do contrato;</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widowControl/>
        <w:numPr>
          <w:ilvl w:val="0"/>
          <w:numId w:val="6"/>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A ocorrência de caso fortuito ou de força maior, regularmente comprovada, impeditiva da execução do contrato;</w:t>
      </w:r>
    </w:p>
    <w:p>
      <w:pPr>
        <w:pStyle w:val="Normal"/>
        <w:numPr>
          <w:ilvl w:val="2"/>
          <w:numId w:val="2"/>
        </w:numPr>
        <w:tabs>
          <w:tab w:val="clear" w:pos="708"/>
          <w:tab w:val="left" w:pos="400" w:leader="none"/>
        </w:tabs>
        <w:overflowPunct w:val="true"/>
        <w:spacing w:lineRule="auto" w:line="276" w:before="57" w:after="57"/>
        <w:ind w:hanging="0" w:left="0" w:right="0"/>
        <w:jc w:val="both"/>
        <w:textAlignment w:val="auto"/>
        <w:rPr>
          <w:rFonts w:ascii="Verdana" w:hAnsi="Verdana"/>
          <w:sz w:val="20"/>
          <w:szCs w:val="20"/>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widowControl/>
        <w:numPr>
          <w:ilvl w:val="2"/>
          <w:numId w:val="3"/>
        </w:numPr>
        <w:tabs>
          <w:tab w:val="clear" w:pos="708"/>
          <w:tab w:val="left" w:pos="400" w:leader="none"/>
        </w:tabs>
        <w:suppressAutoHyphens w:val="true"/>
        <w:overflowPunct w:val="true"/>
        <w:bidi w:val="0"/>
        <w:spacing w:lineRule="auto" w:line="276" w:before="57" w:after="57"/>
        <w:ind w:firstLine="397" w:left="0" w:right="0"/>
        <w:jc w:val="both"/>
        <w:textAlignment w:val="auto"/>
        <w:rPr/>
      </w:pPr>
      <w:r>
        <w:rPr>
          <w:rFonts w:cs="Verdana" w:ascii="Verdana" w:hAnsi="Verdana"/>
          <w:sz w:val="20"/>
          <w:szCs w:val="20"/>
        </w:rPr>
        <w:t>Determinada por ato unilateral e escrito do CONTRATANTE, nos casos específicos enumerados neste contrato, ou razões de interesse público justificado;</w:t>
      </w:r>
    </w:p>
    <w:p>
      <w:pPr>
        <w:pStyle w:val="Normal"/>
        <w:widowControl/>
        <w:numPr>
          <w:ilvl w:val="2"/>
          <w:numId w:val="3"/>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Amigável, por acordo entre as partes e reduzido a termo no processo, desde que haja conveniência para a Administração;</w:t>
      </w:r>
    </w:p>
    <w:p>
      <w:pPr>
        <w:pStyle w:val="Normal"/>
        <w:widowControl/>
        <w:numPr>
          <w:ilvl w:val="2"/>
          <w:numId w:val="3"/>
        </w:numPr>
        <w:tabs>
          <w:tab w:val="clear" w:pos="708"/>
          <w:tab w:val="left" w:pos="400" w:leader="none"/>
        </w:tabs>
        <w:suppressAutoHyphens w:val="true"/>
        <w:overflowPunct w:val="true"/>
        <w:bidi w:val="0"/>
        <w:spacing w:lineRule="auto" w:line="276" w:before="57" w:after="57"/>
        <w:ind w:firstLine="397" w:left="0" w:right="0"/>
        <w:jc w:val="both"/>
        <w:textAlignment w:val="auto"/>
        <w:rPr>
          <w:rFonts w:ascii="Verdana" w:hAnsi="Verdana"/>
          <w:sz w:val="20"/>
          <w:szCs w:val="20"/>
        </w:rPr>
      </w:pPr>
      <w:r>
        <w:rPr>
          <w:rFonts w:cs="Verdana" w:ascii="Verdana" w:hAnsi="Verdana"/>
          <w:sz w:val="20"/>
          <w:szCs w:val="20"/>
        </w:rPr>
        <w:t>Judicial, nos termos da legislação.</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DÉCIMA SEGUNDA – DA LEGISLAÇÃO APLICÁVEL</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tabs>
          <w:tab w:val="clear" w:pos="708"/>
          <w:tab w:val="left" w:pos="-2268" w:leader="none"/>
        </w:tabs>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76" w:before="57" w:after="57"/>
        <w:ind w:hanging="0" w:left="0" w:right="0"/>
        <w:jc w:val="both"/>
        <w:rPr>
          <w:rFonts w:ascii="Verdana" w:hAnsi="Verdana"/>
          <w:sz w:val="20"/>
          <w:szCs w:val="20"/>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before="57" w:after="57"/>
        <w:ind w:hanging="0" w:left="0" w:right="0"/>
        <w:jc w:val="both"/>
        <w:rPr>
          <w:rFonts w:ascii="Verdana" w:hAnsi="Verdana" w:cs="Verdana"/>
          <w:b/>
          <w:sz w:val="20"/>
          <w:szCs w:val="20"/>
          <w:u w:val="single"/>
        </w:rPr>
      </w:pPr>
      <w:r>
        <w:rPr>
          <w:rFonts w:cs="Verdana" w:ascii="Verdana" w:hAnsi="Verdana"/>
          <w:b/>
          <w:sz w:val="20"/>
          <w:szCs w:val="20"/>
          <w:u w:val="single"/>
        </w:rPr>
        <w:t>CLÁUSULA DÉCIMA QUARTA – DO ADITAMENTO</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u w:val="single"/>
        </w:rPr>
        <w:t>CLÁUSULA DÉCIMA QUINTA – DA PUBLICAÇÃO</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Heading3"/>
        <w:numPr>
          <w:ilvl w:val="0"/>
          <w:numId w:val="0"/>
        </w:numPr>
        <w:spacing w:lineRule="auto" w:line="276" w:before="57" w:after="57"/>
        <w:ind w:hanging="0" w:left="0" w:right="0"/>
        <w:rPr>
          <w:rFonts w:ascii="Verdana" w:hAnsi="Verdana"/>
          <w:sz w:val="20"/>
          <w:szCs w:val="20"/>
        </w:rPr>
      </w:pPr>
      <w:r>
        <w:rPr>
          <w:rFonts w:cs="Verdana" w:ascii="Verdana" w:hAnsi="Verdana"/>
          <w:b/>
          <w:sz w:val="20"/>
          <w:szCs w:val="20"/>
          <w:u w:val="single"/>
        </w:rPr>
        <w:t>CLÁUSULA DÉCIMA SEXTA – FORO</w:t>
      </w:r>
    </w:p>
    <w:p>
      <w:pPr>
        <w:pStyle w:val="Normal"/>
        <w:spacing w:lineRule="auto" w:line="276" w:before="57" w:after="57"/>
        <w:ind w:hanging="0" w:left="0" w:right="0"/>
        <w:jc w:val="both"/>
        <w:rPr>
          <w:rFonts w:ascii="Verdana" w:hAnsi="Verdana"/>
          <w:sz w:val="20"/>
          <w:szCs w:val="20"/>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before="57" w:after="57"/>
        <w:ind w:hanging="0" w:left="0" w:right="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76" w:before="57" w:after="57"/>
        <w:ind w:hanging="0" w:left="0" w:right="0"/>
        <w:jc w:val="both"/>
        <w:rPr>
          <w:rFonts w:ascii="Verdana" w:hAnsi="Verdana"/>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76" w:before="57" w:after="57"/>
        <w:ind w:hanging="0" w:left="0" w:right="0"/>
        <w:rPr>
          <w:rFonts w:ascii="Verdana" w:hAnsi="Verdana" w:cs="Verdana"/>
          <w:sz w:val="20"/>
          <w:szCs w:val="20"/>
        </w:rPr>
      </w:pPr>
      <w:r>
        <w:rPr>
          <w:rFonts w:cs="Verdana" w:ascii="Verdana" w:hAnsi="Verdana"/>
          <w:sz w:val="20"/>
          <w:szCs w:val="20"/>
        </w:rPr>
      </w:r>
    </w:p>
    <w:p>
      <w:pPr>
        <w:pStyle w:val="Normal"/>
        <w:spacing w:lineRule="auto" w:line="276" w:before="57" w:after="57"/>
        <w:ind w:hanging="0" w:left="0" w:right="0"/>
        <w:jc w:val="right"/>
        <w:rPr>
          <w:rFonts w:ascii="Verdana" w:hAnsi="Verdana"/>
          <w:sz w:val="20"/>
          <w:szCs w:val="20"/>
        </w:rPr>
      </w:pPr>
      <w:r>
        <w:rPr>
          <w:rFonts w:cs="Verdana" w:ascii="Verdana" w:hAnsi="Verdana"/>
          <w:sz w:val="20"/>
          <w:szCs w:val="20"/>
        </w:rPr>
        <w:t>São Gabriel da Palha, em .............. de 2024.</w:t>
      </w:r>
    </w:p>
    <w:p>
      <w:pPr>
        <w:pStyle w:val="Normal"/>
        <w:spacing w:lineRule="auto" w:line="276" w:before="57" w:after="57"/>
        <w:ind w:hanging="0" w:left="0" w:right="0"/>
        <w:jc w:val="center"/>
        <w:rPr>
          <w:rFonts w:ascii="Verdana" w:hAnsi="Verdana" w:cs="Verdana"/>
          <w:sz w:val="20"/>
          <w:szCs w:val="20"/>
        </w:rPr>
      </w:pPr>
      <w:r>
        <w:rPr>
          <w:rFonts w:cs="Verdana" w:ascii="Verdana" w:hAnsi="Verdana"/>
          <w:sz w:val="20"/>
          <w:szCs w:val="20"/>
        </w:rPr>
      </w:r>
    </w:p>
    <w:p>
      <w:pPr>
        <w:pStyle w:val="Normal"/>
        <w:spacing w:lineRule="auto" w:line="276" w:before="57" w:after="57"/>
        <w:ind w:hanging="0" w:left="0" w:right="0"/>
        <w:jc w:val="center"/>
        <w:rPr>
          <w:rFonts w:ascii="Verdana" w:hAnsi="Verdana"/>
          <w:sz w:val="20"/>
          <w:szCs w:val="20"/>
        </w:rPr>
      </w:pPr>
      <w:r>
        <w:rPr>
          <w:rFonts w:cs="Verdana" w:ascii="Verdana" w:hAnsi="Verdana"/>
          <w:b/>
          <w:sz w:val="20"/>
          <w:szCs w:val="20"/>
        </w:rPr>
        <w:t>Prefeito Municipal</w:t>
      </w:r>
    </w:p>
    <w:p>
      <w:pPr>
        <w:pStyle w:val="Normal"/>
        <w:spacing w:lineRule="auto" w:line="276" w:before="57" w:after="57"/>
        <w:ind w:hanging="0" w:left="0" w:right="0"/>
        <w:jc w:val="center"/>
        <w:rPr>
          <w:rFonts w:ascii="Verdana" w:hAnsi="Verdana"/>
          <w:sz w:val="20"/>
          <w:szCs w:val="20"/>
        </w:rPr>
      </w:pPr>
      <w:r>
        <w:rPr>
          <w:rFonts w:cs="Verdana" w:ascii="Verdana" w:hAnsi="Verdana"/>
          <w:b/>
          <w:sz w:val="20"/>
          <w:szCs w:val="20"/>
        </w:rPr>
        <w:t>CONTRATANTE</w:t>
      </w:r>
    </w:p>
    <w:p>
      <w:pPr>
        <w:pStyle w:val="Normal"/>
        <w:spacing w:lineRule="auto" w:line="276" w:before="57" w:after="57"/>
        <w:ind w:hanging="0" w:left="0" w:right="0"/>
        <w:jc w:val="center"/>
        <w:rPr>
          <w:rFonts w:ascii="Verdana" w:hAnsi="Verdana" w:cs="Verdana"/>
          <w:b/>
          <w:sz w:val="20"/>
          <w:szCs w:val="20"/>
        </w:rPr>
      </w:pPr>
      <w:r>
        <w:rPr>
          <w:rFonts w:cs="Verdana" w:ascii="Verdana" w:hAnsi="Verdana"/>
          <w:b/>
          <w:sz w:val="20"/>
          <w:szCs w:val="20"/>
        </w:rPr>
      </w:r>
    </w:p>
    <w:p>
      <w:pPr>
        <w:pStyle w:val="Normal"/>
        <w:spacing w:lineRule="auto" w:line="276" w:before="57" w:after="57"/>
        <w:ind w:hanging="0" w:left="0" w:right="0"/>
        <w:jc w:val="center"/>
        <w:rPr>
          <w:rFonts w:ascii="Verdana" w:hAnsi="Verdana"/>
          <w:sz w:val="20"/>
          <w:szCs w:val="20"/>
        </w:rPr>
      </w:pPr>
      <w:r>
        <w:rPr>
          <w:rFonts w:cs="Verdana" w:ascii="Verdana" w:hAnsi="Verdana"/>
          <w:b/>
          <w:sz w:val="20"/>
          <w:szCs w:val="20"/>
        </w:rPr>
        <w:t>CONTRATADO</w:t>
      </w:r>
    </w:p>
    <w:p>
      <w:pPr>
        <w:pStyle w:val="Normal"/>
        <w:spacing w:lineRule="auto" w:line="276" w:before="57" w:after="57"/>
        <w:ind w:hanging="0" w:left="0" w:right="0"/>
        <w:jc w:val="center"/>
        <w:rPr>
          <w:rFonts w:ascii="Verdana" w:hAnsi="Verdana" w:cs="Verdana"/>
          <w:b/>
          <w:sz w:val="20"/>
          <w:szCs w:val="20"/>
        </w:rPr>
      </w:pPr>
      <w:r>
        <w:rPr>
          <w:rFonts w:cs="Verdana" w:ascii="Verdana" w:hAnsi="Verdana"/>
          <w:b/>
          <w:sz w:val="20"/>
          <w:szCs w:val="20"/>
        </w:rPr>
      </w:r>
    </w:p>
    <w:tbl>
      <w:tblPr>
        <w:tblW w:w="9072" w:type="dxa"/>
        <w:jc w:val="left"/>
        <w:tblInd w:w="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before="57" w:after="57"/>
              <w:ind w:hanging="0" w:left="0" w:right="0"/>
              <w:rPr>
                <w:rFonts w:ascii="Verdana" w:hAnsi="Verdana"/>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76" w:before="57" w:after="57"/>
              <w:ind w:hanging="0" w:left="0" w:right="0"/>
              <w:rPr>
                <w:rFonts w:ascii="Verdana" w:hAnsi="Verdana"/>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76" w:before="57" w:after="57"/>
              <w:ind w:hanging="0" w:left="0" w:right="0"/>
              <w:rPr>
                <w:rFonts w:ascii="Verdana" w:hAnsi="Verdana" w:cs="Verdana"/>
                <w:sz w:val="20"/>
                <w:szCs w:val="20"/>
              </w:rPr>
            </w:pPr>
            <w:r>
              <w:rPr>
                <w:rFonts w:cs="Verdana" w:ascii="Verdana" w:hAnsi="Verdana"/>
                <w:sz w:val="20"/>
                <w:szCs w:val="20"/>
              </w:rPr>
            </w:r>
          </w:p>
          <w:p>
            <w:pPr>
              <w:pStyle w:val="Normal"/>
              <w:widowControl w:val="false"/>
              <w:spacing w:lineRule="auto" w:line="276" w:before="57" w:after="57"/>
              <w:ind w:hanging="0" w:left="0" w:right="0"/>
              <w:rPr>
                <w:rFonts w:ascii="Verdana" w:hAnsi="Verdana" w:cs="Verdana"/>
                <w:sz w:val="20"/>
                <w:szCs w:val="20"/>
              </w:rPr>
            </w:pPr>
            <w:r>
              <w:rPr>
                <w:rFonts w:cs="Verdana" w:ascii="Verdana" w:hAnsi="Verdana"/>
                <w:sz w:val="20"/>
                <w:szCs w:val="20"/>
              </w:rPr>
            </w:r>
          </w:p>
        </w:tc>
      </w:tr>
    </w:tbl>
    <w:p>
      <w:pPr>
        <w:pStyle w:val="Normal"/>
        <w:spacing w:lineRule="auto" w:line="276" w:before="57" w:after="57"/>
        <w:ind w:hanging="0" w:left="0" w:right="0"/>
        <w:rPr>
          <w:rFonts w:ascii="Verdana" w:hAnsi="Verdana"/>
          <w:sz w:val="20"/>
          <w:szCs w:val="20"/>
        </w:rPr>
      </w:pPr>
      <w:r>
        <w:rPr>
          <w:rFonts w:ascii="Verdana" w:hAnsi="Verdana"/>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275" w:right="1274" w:gutter="0" w:header="850" w:top="1843" w:footer="222" w:bottom="87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Arial MT">
    <w:charset w:val="00"/>
    <w:family w:val="roman"/>
    <w:pitch w:val="variable"/>
  </w:font>
  <w:font w:name="Arial">
    <w:charset w:val="00"/>
    <w:family w:val="roman"/>
    <w:pitch w:val="variable"/>
  </w:font>
  <w:font w:name="Verdana">
    <w:charset w:val="00"/>
    <w:family w:val="roman"/>
    <w:pitch w:val="variable"/>
  </w:font>
  <w:font w:name="Symbo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Segoe UI">
    <w:charset w:val="00"/>
    <w:family w:val="roman"/>
    <w:pitch w:val="variable"/>
  </w:font>
  <w:font w:name="Verdana">
    <w:charset w:val="01"/>
    <w:family w:val="swiss"/>
    <w:pitch w:val="variable"/>
  </w:font>
  <w:font w:name="OpenSymbol">
    <w:altName w:val="Arial Unicode MS"/>
    <w:charset w:val="01"/>
    <w:family w:val="auto"/>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2"/>
        <w:szCs w:val="12"/>
      </w:rPr>
    </w:pPr>
    <w:r>
      <w:rPr>
        <w:sz w:val="12"/>
        <w:szCs w:val="12"/>
      </w:rPr>
    </w:r>
  </w:p>
  <w:p>
    <w:pPr>
      <w:pStyle w:val="Header"/>
      <w:jc w:val="center"/>
      <w:rPr>
        <w:rFonts w:ascii="Arial" w:hAnsi="Arial" w:cs="Arial"/>
        <w:b/>
        <w:sz w:val="16"/>
        <w:szCs w:val="16"/>
      </w:rPr>
    </w:pPr>
    <w:bookmarkStart w:id="2" w:name="_Hlk158124314"/>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 xml:space="preserve">Telefax 0(xx) 27 3727-1366. </w:t>
    </w:r>
    <w:hyperlink r:id="rId1">
      <w:r>
        <w:rPr>
          <w:rStyle w:val="Hyperlink"/>
          <w:rFonts w:cs="Arial" w:ascii="Arial" w:hAnsi="Arial"/>
          <w:b/>
          <w:sz w:val="16"/>
          <w:szCs w:val="16"/>
        </w:rPr>
        <w:t>www.saogabriel.es.gov.br</w:t>
      </w:r>
    </w:hyperlink>
    <w:bookmarkEnd w:id="2"/>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2"/>
        <w:szCs w:val="12"/>
      </w:rPr>
    </w:pPr>
    <w:r>
      <w:rPr>
        <w:sz w:val="12"/>
        <w:szCs w:val="12"/>
      </w:rPr>
    </w:r>
  </w:p>
  <w:p>
    <w:pPr>
      <w:pStyle w:val="Header"/>
      <w:jc w:val="center"/>
      <w:rPr>
        <w:rFonts w:ascii="Arial" w:hAnsi="Arial" w:cs="Arial"/>
        <w:b/>
        <w:sz w:val="16"/>
        <w:szCs w:val="16"/>
      </w:rPr>
    </w:pPr>
    <w:bookmarkStart w:id="3" w:name="_Hlk158124314"/>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 xml:space="preserve">Telefax 0(xx) 27 3727-1366. </w:t>
    </w:r>
    <w:hyperlink r:id="rId1">
      <w:r>
        <w:rPr>
          <w:rStyle w:val="Hyperlink"/>
          <w:rFonts w:cs="Arial" w:ascii="Arial" w:hAnsi="Arial"/>
          <w:b/>
          <w:sz w:val="16"/>
          <w:szCs w:val="16"/>
        </w:rPr>
        <w:t>www.saogabriel.es.gov.br</w:t>
      </w:r>
    </w:hyperlink>
    <w:bookmarkEnd w:id="3"/>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498475" distB="498475" distL="1236980" distR="1237615" simplePos="0" locked="0" layoutInCell="0" allowOverlap="1" relativeHeight="2" wp14:anchorId="57C454B1">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a:graphic xmlns:a="http://schemas.openxmlformats.org/drawingml/2006/main">
                <a:graphicData uri="http://schemas.openxmlformats.org/drawingml/2006/picture">
                  <pic:pic xmlns:pic="http://schemas.openxmlformats.org/drawingml/2006/picture">
                    <pic:nvPicPr>
                      <pic:cNvPr id="2" name="PowerPlusWaterMarkObject1236528047" descr=""/>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0pt;margin-top:0pt;width:271.55pt;height:391.5pt;mso-wrap-style:none;v-text-anchor:middle;rotation:315;mso-position-horizontal:center;mso-position-horizontal-relative:margin;mso-position-vertical:center;mso-position-vertical-relative:margin" wp14:anchorId="57C454B1" type="_x0000_t75">
              <v:imagedata r:id="rId2" o:detectmouseclick="t"/>
              <v:stroke color="#3465a4" joinstyle="round" endcap="flat"/>
              <w10:wrap type="none"/>
            </v:shape>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center"/>
      <w:rPr>
        <w:rFonts w:ascii="Verdana" w:hAnsi="Verdana"/>
        <w:b/>
        <w:bCs/>
        <w:szCs w:val="20"/>
      </w:rPr>
    </w:pPr>
    <w:r>
      <w:drawing>
        <wp:anchor behindDoc="1" distT="0" distB="0" distL="114935" distR="114935" simplePos="0" locked="0" layoutInCell="0" allowOverlap="1" relativeHeight="15">
          <wp:simplePos x="0" y="0"/>
          <wp:positionH relativeFrom="column">
            <wp:posOffset>57150</wp:posOffset>
          </wp:positionH>
          <wp:positionV relativeFrom="paragraph">
            <wp:posOffset>-82550</wp:posOffset>
          </wp:positionV>
          <wp:extent cx="762000" cy="638175"/>
          <wp:effectExtent l="0" t="0" r="0" b="0"/>
          <wp:wrapSquare wrapText="bothSides"/>
          <wp:docPr id="3"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descr=""/>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pict>
        <v:shape id="PowerPlusWaterMarkObject1236528048" o:spid="shape_0" coordsize="1947,1939" path="m0,7l0,7xm7,1l0,7l7,0l7,1xm0,7l0,7xm1946,1938l0,7l1946,1938xe" stroked="f" o:allowincell="f" style="position:absolute;margin-left:206.3pt;margin-top:323.55pt;width:55.1pt;height:54.9pt;mso-wrap-style:none;v-text-anchor:middle;mso-position-horizontal:center;mso-position-horizontal-relative:margin;mso-position-vertical:center;mso-position-vertical-relative:margin">
          <v:fill o:detectmouseclick="t" on="false"/>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p>
  <w:p>
    <w:pPr>
      <w:pStyle w:val="Header"/>
      <w:jc w:val="center"/>
      <w:rPr/>
    </w:pPr>
    <w:r>
      <w:rPr>
        <w:rFonts w:cs="Calibri" w:ascii="Verdana" w:hAnsi="Verdana"/>
        <w:b/>
        <w:bCs/>
        <w:szCs w:val="20"/>
      </w:rPr>
      <w:t>Secretaria Municipal de Administração</w:t>
    </w:r>
  </w:p>
  <w:p>
    <w:pPr>
      <w:pStyle w:val="Header"/>
      <w:jc w:val="center"/>
      <w:rPr>
        <w:rFonts w:ascii="Verdana" w:hAnsi="Verdana" w:cs="Calibri"/>
        <w:b/>
        <w:bCs/>
        <w:szCs w:val="20"/>
      </w:rPr>
    </w:pPr>
    <w:r>
      <w:rPr>
        <w:rFonts w:cs="Calibri" w:ascii="Verdana" w:hAnsi="Verdana"/>
        <w:b/>
        <w:bCs/>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center"/>
      <w:rPr>
        <w:rFonts w:ascii="Verdana" w:hAnsi="Verdana"/>
        <w:b/>
        <w:bCs/>
        <w:szCs w:val="20"/>
      </w:rPr>
    </w:pPr>
    <w:r>
      <w:drawing>
        <wp:anchor behindDoc="1" distT="0" distB="0" distL="114935" distR="114935" simplePos="0" locked="0" layoutInCell="0" allowOverlap="1" relativeHeight="15">
          <wp:simplePos x="0" y="0"/>
          <wp:positionH relativeFrom="column">
            <wp:posOffset>57150</wp:posOffset>
          </wp:positionH>
          <wp:positionV relativeFrom="paragraph">
            <wp:posOffset>-82550</wp:posOffset>
          </wp:positionV>
          <wp:extent cx="762000" cy="638175"/>
          <wp:effectExtent l="0" t="0" r="0" b="0"/>
          <wp:wrapSquare wrapText="bothSides"/>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pict>
        <v:shape id="PowerPlusWaterMarkObject1236528048" o:spid="shape_0" coordsize="1947,1939" path="m0,7l0,7xm7,1l0,7l7,0l7,1xm0,7l0,7xm1946,1938l0,7l1946,1938xe" stroked="f" o:allowincell="f" style="position:absolute;margin-left:206.3pt;margin-top:323.55pt;width:55.1pt;height:54.9pt;mso-wrap-style:none;v-text-anchor:middle;mso-position-horizontal:center;mso-position-horizontal-relative:margin;mso-position-vertical:center;mso-position-vertical-relative:margin">
          <v:fill o:detectmouseclick="t" on="false"/>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p>
  <w:p>
    <w:pPr>
      <w:pStyle w:val="Header"/>
      <w:jc w:val="center"/>
      <w:rPr/>
    </w:pPr>
    <w:r>
      <w:rPr>
        <w:rFonts w:cs="Calibri" w:ascii="Verdana" w:hAnsi="Verdana"/>
        <w:b/>
        <w:bCs/>
        <w:szCs w:val="20"/>
      </w:rPr>
      <w:t>Secretaria Municipal de Administração</w:t>
    </w:r>
  </w:p>
  <w:p>
    <w:pPr>
      <w:pStyle w:val="Header"/>
      <w:jc w:val="center"/>
      <w:rPr>
        <w:rFonts w:ascii="Verdana" w:hAnsi="Verdana" w:cs="Calibri"/>
        <w:b/>
        <w:bCs/>
        <w:szCs w:val="20"/>
      </w:rPr>
    </w:pPr>
    <w:r>
      <w:rPr>
        <w:rFonts w:cs="Calibri" w:ascii="Verdana" w:hAnsi="Verdana"/>
        <w:b/>
        <w:bCs/>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4334"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1068" w:hanging="360"/>
      </w:pPr>
      <w:rPr>
        <w:sz w:val="24"/>
        <w:b/>
        <w:szCs w:val="24"/>
        <w:rFonts w:ascii="Arial" w:hAnsi="Arial" w:cs="Arial"/>
      </w:rPr>
    </w:lvl>
    <w:lvl w:ilvl="1">
      <w:start w:val="1"/>
      <w:numFmt w:val="decimal"/>
      <w:lvlText w:val="%1.%2."/>
      <w:lvlJc w:val="left"/>
      <w:pPr>
        <w:tabs>
          <w:tab w:val="num" w:pos="0"/>
        </w:tabs>
        <w:ind w:left="432" w:hanging="432"/>
      </w:pPr>
      <w:rPr>
        <w:dstrike w:val="false"/>
        <w:strike w:val="false"/>
        <w:b w:val="false"/>
        <w:color w:val="auto"/>
      </w:rPr>
    </w:lvl>
    <w:lvl w:ilvl="2">
      <w:start w:val="1"/>
      <w:numFmt w:val="decimal"/>
      <w:lvlText w:val="%1.%2.%3."/>
      <w:lvlJc w:val="left"/>
      <w:pPr>
        <w:tabs>
          <w:tab w:val="num" w:pos="0"/>
        </w:tabs>
        <w:ind w:left="2914" w:hanging="504"/>
      </w:pPr>
      <w:rPr>
        <w:smallCaps w:val="false"/>
        <w:caps w:val="false"/>
        <w:outline w:val="false"/>
        <w:dstrike w:val="false"/>
        <w:strike w:val="false"/>
        <w:vertAlign w:val="baseline"/>
        <w:position w:val="0"/>
        <w:sz w:val="20"/>
        <w:sz w:val="20"/>
        <w:spacing w:val="0"/>
        <w:i w:val="false"/>
        <w:shadow w:val="false"/>
        <w:u w:val="none"/>
        <w:b w:val="false"/>
        <w:kern w:val="0"/>
        <w:effect w:val="none"/>
        <w:szCs w:val="20"/>
        <w:iCs w:val="false"/>
        <w:bCs w:val="false"/>
        <w:em w:val="none"/>
        <w:emboss w:val="false"/>
        <w:imprint w:val="false"/>
        <w:vanish w:val="false"/>
        <w:rFonts w:ascii="Verdana" w:hAnsi="Verdana" w:cs="Arial"/>
        <w:color w:val="auto"/>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3">
      <w:start w:val="1"/>
      <w:numFmt w:val="decimal"/>
      <w:lvlText w:val="%1.%2.%3.%4."/>
      <w:lvlJc w:val="left"/>
      <w:pPr>
        <w:tabs>
          <w:tab w:val="num" w:pos="0"/>
        </w:tabs>
        <w:ind w:left="790" w:hanging="648"/>
      </w:pPr>
      <w:rPr>
        <w:sz w:val="24"/>
        <w:b w:val="false"/>
        <w:szCs w:val="24"/>
        <w:rFonts w:ascii="Arial" w:hAnsi="Arial" w:cs="Arial"/>
        <w:color w:val="auto"/>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ordinal"/>
      <w:lvlText w:val="§%1 - "/>
      <w:lvlJc w:val="right"/>
      <w:pPr>
        <w:tabs>
          <w:tab w:val="num" w:pos="851"/>
        </w:tabs>
        <w:ind w:left="851" w:hanging="0"/>
      </w:pPr>
      <w:rPr/>
    </w:lvl>
    <w:lvl w:ilvl="1">
      <w:start w:val="1"/>
      <w:numFmt w:val="lowerRoman"/>
      <w:lvlText w:val="%2 - "/>
      <w:lvlJc w:val="right"/>
      <w:pPr>
        <w:tabs>
          <w:tab w:val="num" w:pos="1418"/>
        </w:tabs>
        <w:ind w:left="1418" w:hanging="284"/>
      </w:pPr>
      <w:rPr/>
    </w:lvl>
    <w:lvl w:ilvl="2">
      <w:start w:val="1"/>
      <w:numFmt w:val="lowerLetter"/>
      <w:lvlText w:val="%3)"/>
      <w:lvlJc w:val="left"/>
      <w:pPr>
        <w:tabs>
          <w:tab w:val="num" w:pos="284"/>
        </w:tabs>
        <w:ind w:left="1758" w:hanging="340"/>
      </w:pPr>
      <w:rPr>
        <w:b/>
        <w:bCs/>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rPr>
        <w:b w:val="false"/>
      </w:rPr>
    </w:lvl>
    <w:lvl w:ilvl="3">
      <w:start w:val="1"/>
      <w:numFmt w:val="decimal"/>
      <w:lvlText w:val="%1.%2.%3.%4."/>
      <w:lvlJc w:val="left"/>
      <w:pPr>
        <w:tabs>
          <w:tab w:val="num" w:pos="0"/>
        </w:tabs>
        <w:ind w:left="1728" w:hanging="648"/>
      </w:pPr>
      <w:rPr>
        <w:b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080"/>
        </w:tabs>
        <w:ind w:left="1080" w:hanging="360"/>
      </w:pPr>
      <w:rPr>
        <w:b/>
        <w:bCs/>
      </w:rPr>
    </w:lvl>
    <w:lvl w:ilvl="2">
      <w:start w:val="1"/>
      <w:numFmt w:val="lowerLetter"/>
      <w:lvlText w:val="%3)"/>
      <w:lvlJc w:val="left"/>
      <w:pPr>
        <w:tabs>
          <w:tab w:val="num" w:pos="1440"/>
        </w:tabs>
        <w:ind w:left="1440" w:hanging="360"/>
      </w:pPr>
      <w:rPr>
        <w:b/>
        <w:bCs/>
      </w:rPr>
    </w:lvl>
    <w:lvl w:ilvl="3">
      <w:start w:val="1"/>
      <w:numFmt w:val="lowerLetter"/>
      <w:lvlText w:val="%4)"/>
      <w:lvlJc w:val="left"/>
      <w:pPr>
        <w:tabs>
          <w:tab w:val="num" w:pos="1800"/>
        </w:tabs>
        <w:ind w:left="1800" w:hanging="360"/>
      </w:pPr>
      <w:rPr>
        <w:b/>
        <w:bCs/>
      </w:rPr>
    </w:lvl>
    <w:lvl w:ilvl="4">
      <w:start w:val="1"/>
      <w:numFmt w:val="lowerLetter"/>
      <w:lvlText w:val="%5)"/>
      <w:lvlJc w:val="left"/>
      <w:pPr>
        <w:tabs>
          <w:tab w:val="num" w:pos="2160"/>
        </w:tabs>
        <w:ind w:left="2160" w:hanging="360"/>
      </w:pPr>
      <w:rPr>
        <w:b/>
        <w:bCs/>
      </w:rPr>
    </w:lvl>
    <w:lvl w:ilvl="5">
      <w:start w:val="1"/>
      <w:numFmt w:val="lowerLetter"/>
      <w:lvlText w:val="%6)"/>
      <w:lvlJc w:val="left"/>
      <w:pPr>
        <w:tabs>
          <w:tab w:val="num" w:pos="2520"/>
        </w:tabs>
        <w:ind w:left="2520" w:hanging="360"/>
      </w:pPr>
      <w:rPr>
        <w:b/>
        <w:bCs/>
      </w:rPr>
    </w:lvl>
    <w:lvl w:ilvl="6">
      <w:start w:val="1"/>
      <w:numFmt w:val="lowerLetter"/>
      <w:lvlText w:val="%7)"/>
      <w:lvlJc w:val="left"/>
      <w:pPr>
        <w:tabs>
          <w:tab w:val="num" w:pos="2880"/>
        </w:tabs>
        <w:ind w:left="2880" w:hanging="360"/>
      </w:pPr>
      <w:rPr>
        <w:b/>
        <w:bCs/>
      </w:rPr>
    </w:lvl>
    <w:lvl w:ilvl="7">
      <w:start w:val="1"/>
      <w:numFmt w:val="lowerLetter"/>
      <w:lvlText w:val="%8)"/>
      <w:lvlJc w:val="left"/>
      <w:pPr>
        <w:tabs>
          <w:tab w:val="num" w:pos="3240"/>
        </w:tabs>
        <w:ind w:left="3240" w:hanging="360"/>
      </w:pPr>
      <w:rPr>
        <w:b/>
        <w:bCs/>
      </w:rPr>
    </w:lvl>
    <w:lvl w:ilvl="8">
      <w:start w:val="1"/>
      <w:numFmt w:val="lowerLetter"/>
      <w:lvlText w:val="%9)"/>
      <w:lvlJc w:val="left"/>
      <w:pPr>
        <w:tabs>
          <w:tab w:val="num" w:pos="3600"/>
        </w:tabs>
        <w:ind w:left="3600" w:hanging="360"/>
      </w:pPr>
      <w:rPr>
        <w:b/>
        <w:bCs/>
      </w:rPr>
    </w:lvl>
  </w:abstractNum>
  <w:abstractNum w:abstractNumId="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lvlText w:val="▪"/>
      <w:lvlJc w:val="left"/>
      <w:pPr>
        <w:tabs>
          <w:tab w:val="num" w:pos="144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abstractNum w:abstractNumId="8">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9">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OpenSymbol" w:hint="default"/>
        <w:sz w:val="22"/>
        <w:szCs w:val="22"/>
      </w:rPr>
    </w:lvl>
    <w:lvl w:ilvl="2">
      <w:start w:val="1"/>
      <w:numFmt w:val="bullet"/>
      <w:lvlText w:val="▪"/>
      <w:lvlJc w:val="left"/>
      <w:pPr>
        <w:tabs>
          <w:tab w:val="num" w:pos="1440"/>
        </w:tabs>
        <w:ind w:left="1440" w:hanging="360"/>
      </w:pPr>
      <w:rPr>
        <w:rFonts w:ascii="OpenSymbol" w:hAnsi="OpenSymbol" w:cs="OpenSymbol" w:hint="default"/>
        <w:sz w:val="22"/>
        <w:szCs w:val="22"/>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OpenSymbol" w:hint="default"/>
        <w:sz w:val="22"/>
        <w:szCs w:val="22"/>
      </w:rPr>
    </w:lvl>
    <w:lvl w:ilvl="5">
      <w:start w:val="1"/>
      <w:numFmt w:val="bullet"/>
      <w:lvlText w:val="▪"/>
      <w:lvlJc w:val="left"/>
      <w:pPr>
        <w:tabs>
          <w:tab w:val="num" w:pos="2520"/>
        </w:tabs>
        <w:ind w:left="2520" w:hanging="360"/>
      </w:pPr>
      <w:rPr>
        <w:rFonts w:ascii="OpenSymbol" w:hAnsi="OpenSymbol" w:cs="OpenSymbol" w:hint="default"/>
        <w:sz w:val="22"/>
        <w:szCs w:val="22"/>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OpenSymbol" w:hint="default"/>
        <w:sz w:val="22"/>
        <w:szCs w:val="22"/>
      </w:rPr>
    </w:lvl>
    <w:lvl w:ilvl="8">
      <w:start w:val="1"/>
      <w:numFmt w:val="bullet"/>
      <w:lvlText w:val="▪"/>
      <w:lvlJc w:val="left"/>
      <w:pPr>
        <w:tabs>
          <w:tab w:val="num" w:pos="3600"/>
        </w:tabs>
        <w:ind w:left="3600" w:hanging="360"/>
      </w:pPr>
      <w:rPr>
        <w:rFonts w:ascii="OpenSymbol" w:hAnsi="OpenSymbol" w:cs="OpenSymbol" w:hint="default"/>
        <w:sz w:val="22"/>
        <w:szCs w:val="22"/>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2d8c"/>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Heading1">
    <w:name w:val="Heading 1"/>
    <w:basedOn w:val="Normal"/>
    <w:next w:val="Normal"/>
    <w:link w:val="Ttulo1Char"/>
    <w:uiPriority w:val="9"/>
    <w:qFormat/>
    <w:rsid w:val="00bf349c"/>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next w:val="Normal"/>
    <w:link w:val="Ttulo2Char"/>
    <w:uiPriority w:val="9"/>
    <w:semiHidden/>
    <w:unhideWhenUsed/>
    <w:qFormat/>
    <w:rsid w:val="002379d7"/>
    <w:pPr>
      <w:keepNext w:val="true"/>
      <w:keepLines/>
      <w:spacing w:before="40" w:after="0"/>
      <w:ind w:hanging="576" w:left="576"/>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
    <w:next w:val="Normal"/>
    <w:link w:val="Ttulo3Char"/>
    <w:unhideWhenUsed/>
    <w:qFormat/>
    <w:rsid w:val="002379d7"/>
    <w:pPr>
      <w:keepNext w:val="true"/>
      <w:spacing w:lineRule="auto" w:line="240" w:before="240" w:after="60"/>
      <w:ind w:hanging="720" w:left="720"/>
      <w:textAlignment w:val="baseline"/>
      <w:outlineLvl w:val="2"/>
    </w:pPr>
    <w:rPr>
      <w:rFonts w:ascii="Cambria" w:hAnsi="Cambria" w:eastAsia="Times New Roman" w:cs="Times New Roman"/>
      <w:b/>
      <w:bCs/>
      <w:sz w:val="26"/>
      <w:szCs w:val="26"/>
    </w:rPr>
  </w:style>
  <w:style w:type="paragraph" w:styleId="Heading4">
    <w:name w:val="Heading 4"/>
    <w:basedOn w:val="Normal"/>
    <w:next w:val="Normal"/>
    <w:link w:val="Ttulo4Char"/>
    <w:uiPriority w:val="9"/>
    <w:semiHidden/>
    <w:unhideWhenUsed/>
    <w:qFormat/>
    <w:rsid w:val="002379d7"/>
    <w:pPr>
      <w:keepNext w:val="true"/>
      <w:keepLines/>
      <w:spacing w:before="40" w:after="0"/>
      <w:ind w:hanging="864" w:left="864"/>
      <w:outlineLvl w:val="3"/>
    </w:pPr>
    <w:rPr>
      <w:rFonts w:ascii="Cambria" w:hAnsi="Cambria" w:eastAsia="" w:cs="" w:asciiTheme="majorHAnsi" w:cstheme="majorBidi" w:eastAsiaTheme="majorEastAsia" w:hAnsiTheme="majorHAnsi"/>
      <w:i/>
      <w:iCs/>
      <w:color w:themeColor="accent1" w:themeShade="bf" w:val="365F91"/>
    </w:rPr>
  </w:style>
  <w:style w:type="paragraph" w:styleId="Heading5">
    <w:name w:val="Heading 5"/>
    <w:basedOn w:val="Normal"/>
    <w:next w:val="Normal"/>
    <w:link w:val="Ttulo5Char"/>
    <w:uiPriority w:val="9"/>
    <w:semiHidden/>
    <w:unhideWhenUsed/>
    <w:qFormat/>
    <w:rsid w:val="002379d7"/>
    <w:pPr>
      <w:keepNext w:val="true"/>
      <w:keepLines/>
      <w:spacing w:before="40" w:after="0"/>
      <w:ind w:hanging="1008" w:left="1008"/>
      <w:outlineLvl w:val="4"/>
    </w:pPr>
    <w:rPr>
      <w:rFonts w:ascii="Cambria" w:hAnsi="Cambria" w:eastAsia="" w:cs="" w:asciiTheme="majorHAnsi" w:cstheme="majorBidi" w:eastAsiaTheme="majorEastAsia" w:hAnsiTheme="majorHAnsi"/>
      <w:color w:themeColor="accent1" w:themeShade="bf" w:val="365F91"/>
    </w:rPr>
  </w:style>
  <w:style w:type="paragraph" w:styleId="Heading6">
    <w:name w:val="Heading 6"/>
    <w:basedOn w:val="Normal"/>
    <w:next w:val="Normal"/>
    <w:link w:val="Ttulo6Char"/>
    <w:uiPriority w:val="9"/>
    <w:semiHidden/>
    <w:unhideWhenUsed/>
    <w:qFormat/>
    <w:rsid w:val="002379d7"/>
    <w:pPr>
      <w:keepNext w:val="true"/>
      <w:keepLines/>
      <w:spacing w:before="40" w:after="0"/>
      <w:ind w:hanging="1152" w:left="1152"/>
      <w:outlineLvl w:val="5"/>
    </w:pPr>
    <w:rPr>
      <w:rFonts w:ascii="Cambria" w:hAnsi="Cambria" w:eastAsia="" w:cs="" w:asciiTheme="majorHAnsi" w:cstheme="majorBidi" w:eastAsiaTheme="majorEastAsia" w:hAnsiTheme="majorHAnsi"/>
      <w:color w:themeColor="accent1" w:themeShade="7f" w:val="243F60"/>
    </w:rPr>
  </w:style>
  <w:style w:type="paragraph" w:styleId="Heading7">
    <w:name w:val="Heading 7"/>
    <w:basedOn w:val="Normal"/>
    <w:next w:val="Normal"/>
    <w:link w:val="Ttulo7Char"/>
    <w:uiPriority w:val="9"/>
    <w:semiHidden/>
    <w:unhideWhenUsed/>
    <w:qFormat/>
    <w:rsid w:val="002379d7"/>
    <w:pPr>
      <w:keepNext w:val="true"/>
      <w:keepLines/>
      <w:spacing w:before="40" w:after="0"/>
      <w:ind w:hanging="1296" w:left="1296"/>
      <w:outlineLvl w:val="6"/>
    </w:pPr>
    <w:rPr>
      <w:rFonts w:ascii="Cambria" w:hAnsi="Cambria" w:eastAsia="" w:cs="" w:asciiTheme="majorHAnsi" w:cstheme="majorBidi" w:eastAsiaTheme="majorEastAsia" w:hAnsiTheme="majorHAnsi"/>
      <w:i/>
      <w:iCs/>
      <w:color w:themeColor="accent1" w:themeShade="7f" w:val="243F60"/>
    </w:rPr>
  </w:style>
  <w:style w:type="paragraph" w:styleId="Heading8">
    <w:name w:val="Heading 8"/>
    <w:basedOn w:val="Normal"/>
    <w:next w:val="Normal"/>
    <w:link w:val="Ttulo8Char"/>
    <w:uiPriority w:val="9"/>
    <w:semiHidden/>
    <w:unhideWhenUsed/>
    <w:qFormat/>
    <w:rsid w:val="002379d7"/>
    <w:pPr>
      <w:keepNext w:val="true"/>
      <w:keepLines/>
      <w:spacing w:before="40" w:after="0"/>
      <w:ind w:hanging="1440" w:left="1440"/>
      <w:outlineLvl w:val="7"/>
    </w:pPr>
    <w:rPr>
      <w:rFonts w:ascii="Cambria" w:hAnsi="Cambria" w:eastAsia="" w:cs="" w:asciiTheme="majorHAnsi" w:cstheme="majorBidi" w:eastAsiaTheme="majorEastAsia" w:hAnsiTheme="majorHAnsi"/>
      <w:color w:themeColor="text1" w:themeTint="d8" w:val="272727"/>
      <w:sz w:val="21"/>
      <w:szCs w:val="21"/>
    </w:rPr>
  </w:style>
  <w:style w:type="paragraph" w:styleId="Heading9">
    <w:name w:val="Heading 9"/>
    <w:basedOn w:val="Normal"/>
    <w:next w:val="Normal"/>
    <w:link w:val="Ttulo9Char"/>
    <w:uiPriority w:val="9"/>
    <w:semiHidden/>
    <w:unhideWhenUsed/>
    <w:qFormat/>
    <w:rsid w:val="002379d7"/>
    <w:pPr>
      <w:keepNext w:val="true"/>
      <w:keepLines/>
      <w:spacing w:before="40" w:after="0"/>
      <w:ind w:hanging="1584" w:left="1584"/>
      <w:outlineLvl w:val="8"/>
    </w:pPr>
    <w:rPr>
      <w:rFonts w:ascii="Cambria" w:hAnsi="Cambria" w:eastAsia="" w:cs="" w:asciiTheme="majorHAnsi" w:cstheme="majorBidi" w:eastAsiaTheme="majorEastAsia" w:hAnsiTheme="majorHAnsi"/>
      <w:i/>
      <w:iCs/>
      <w:color w:themeColor="text1" w:themeTint="d8" w:val="272727"/>
      <w:sz w:val="21"/>
      <w:szCs w:val="21"/>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ec7082"/>
    <w:rPr/>
  </w:style>
  <w:style w:type="character" w:styleId="RodapChar" w:customStyle="1">
    <w:name w:val="Rodapé Char"/>
    <w:basedOn w:val="DefaultParagraphFont"/>
    <w:uiPriority w:val="99"/>
    <w:qFormat/>
    <w:rsid w:val="00ec7082"/>
    <w:rPr/>
  </w:style>
  <w:style w:type="character" w:styleId="TextodebaloChar" w:customStyle="1">
    <w:name w:val="Texto de balão Char"/>
    <w:basedOn w:val="DefaultParagraphFont"/>
    <w:link w:val="BalloonText"/>
    <w:qFormat/>
    <w:rsid w:val="00ec7082"/>
    <w:rPr>
      <w:rFonts w:ascii="Tahoma" w:hAnsi="Tahoma" w:cs="Tahoma"/>
      <w:sz w:val="16"/>
      <w:szCs w:val="16"/>
    </w:rPr>
  </w:style>
  <w:style w:type="character" w:styleId="annotationreference">
    <w:name w:val="annotation reference"/>
    <w:basedOn w:val="DefaultParagraphFont"/>
    <w:uiPriority w:val="99"/>
    <w:semiHidden/>
    <w:unhideWhenUsed/>
    <w:qFormat/>
    <w:rsid w:val="007f16bb"/>
    <w:rPr>
      <w:sz w:val="16"/>
      <w:szCs w:val="16"/>
    </w:rPr>
  </w:style>
  <w:style w:type="character" w:styleId="TextodecomentrioChar" w:customStyle="1">
    <w:name w:val="Texto de comentário Char"/>
    <w:basedOn w:val="DefaultParagraphFont"/>
    <w:uiPriority w:val="99"/>
    <w:semiHidden/>
    <w:qFormat/>
    <w:rsid w:val="007f16bb"/>
    <w:rPr>
      <w:sz w:val="20"/>
      <w:szCs w:val="20"/>
    </w:rPr>
  </w:style>
  <w:style w:type="character" w:styleId="AssuntodocomentrioChar" w:customStyle="1">
    <w:name w:val="Assunto do comentário Char"/>
    <w:basedOn w:val="TextodecomentrioChar"/>
    <w:link w:val="annotationsubject"/>
    <w:uiPriority w:val="99"/>
    <w:semiHidden/>
    <w:qFormat/>
    <w:rsid w:val="007f16bb"/>
    <w:rPr>
      <w:b/>
      <w:bCs/>
      <w:sz w:val="20"/>
      <w:szCs w:val="20"/>
    </w:rPr>
  </w:style>
  <w:style w:type="character" w:styleId="InternetLink">
    <w:name w:val="Internet Link"/>
    <w:basedOn w:val="DefaultParagraphFont"/>
    <w:uiPriority w:val="99"/>
    <w:unhideWhenUsed/>
    <w:qFormat/>
    <w:rsid w:val="00831277"/>
    <w:rPr>
      <w:color w:themeColor="hyperlink" w:val="0000FF"/>
      <w:u w:val="single"/>
    </w:rPr>
  </w:style>
  <w:style w:type="character" w:styleId="Ttulo1Char" w:customStyle="1">
    <w:name w:val="Título 1 Char"/>
    <w:basedOn w:val="DefaultParagraphFont"/>
    <w:uiPriority w:val="9"/>
    <w:qFormat/>
    <w:rsid w:val="00bf349c"/>
    <w:rPr>
      <w:rFonts w:ascii="Cambria" w:hAnsi="Cambria" w:eastAsia="" w:cs="" w:asciiTheme="majorHAnsi" w:cstheme="majorBidi" w:eastAsiaTheme="majorEastAsia" w:hAnsiTheme="majorHAnsi"/>
      <w:color w:themeColor="accent1" w:themeShade="bf" w:val="365F91"/>
      <w:sz w:val="32"/>
      <w:szCs w:val="32"/>
    </w:rPr>
  </w:style>
  <w:style w:type="character" w:styleId="PargrafodaListaChar" w:customStyle="1">
    <w:name w:val="Parágrafo da Lista Char"/>
    <w:link w:val="ListParagraph"/>
    <w:uiPriority w:val="34"/>
    <w:qFormat/>
    <w:locked/>
    <w:rsid w:val="005a3a3e"/>
    <w:rPr/>
  </w:style>
  <w:style w:type="character" w:styleId="Ttulo2Char" w:customStyle="1">
    <w:name w:val="Título 2 Char"/>
    <w:basedOn w:val="DefaultParagraphFont"/>
    <w:uiPriority w:val="9"/>
    <w:semiHidden/>
    <w:qFormat/>
    <w:rsid w:val="002379d7"/>
    <w:rPr>
      <w:rFonts w:ascii="Cambria" w:hAnsi="Cambria" w:eastAsia="" w:cs="" w:asciiTheme="majorHAnsi" w:cstheme="majorBidi" w:eastAsiaTheme="majorEastAsia" w:hAnsiTheme="majorHAnsi"/>
      <w:color w:themeColor="accent1" w:themeShade="bf" w:val="365F91"/>
      <w:sz w:val="26"/>
      <w:szCs w:val="26"/>
    </w:rPr>
  </w:style>
  <w:style w:type="character" w:styleId="Ttulo3Char" w:customStyle="1">
    <w:name w:val="Título 3 Char"/>
    <w:basedOn w:val="DefaultParagraphFont"/>
    <w:qFormat/>
    <w:rsid w:val="002379d7"/>
    <w:rPr>
      <w:rFonts w:ascii="Cambria" w:hAnsi="Cambria" w:eastAsia="Times New Roman" w:cs="Times New Roman"/>
      <w:b/>
      <w:bCs/>
      <w:sz w:val="26"/>
      <w:szCs w:val="26"/>
    </w:rPr>
  </w:style>
  <w:style w:type="character" w:styleId="Ttulo4Char" w:customStyle="1">
    <w:name w:val="Título 4 Char"/>
    <w:basedOn w:val="DefaultParagraphFont"/>
    <w:uiPriority w:val="9"/>
    <w:semiHidden/>
    <w:qFormat/>
    <w:rsid w:val="002379d7"/>
    <w:rPr>
      <w:rFonts w:ascii="Cambria" w:hAnsi="Cambria" w:eastAsia="" w:cs="" w:asciiTheme="majorHAnsi" w:cstheme="majorBidi" w:eastAsiaTheme="majorEastAsia" w:hAnsiTheme="majorHAnsi"/>
      <w:i/>
      <w:iCs/>
      <w:color w:themeColor="accent1" w:themeShade="bf" w:val="365F91"/>
    </w:rPr>
  </w:style>
  <w:style w:type="character" w:styleId="Ttulo5Char" w:customStyle="1">
    <w:name w:val="Título 5 Char"/>
    <w:basedOn w:val="DefaultParagraphFont"/>
    <w:uiPriority w:val="9"/>
    <w:semiHidden/>
    <w:qFormat/>
    <w:rsid w:val="002379d7"/>
    <w:rPr>
      <w:rFonts w:ascii="Cambria" w:hAnsi="Cambria" w:eastAsia="" w:cs="" w:asciiTheme="majorHAnsi" w:cstheme="majorBidi" w:eastAsiaTheme="majorEastAsia" w:hAnsiTheme="majorHAnsi"/>
      <w:color w:themeColor="accent1" w:themeShade="bf" w:val="365F91"/>
    </w:rPr>
  </w:style>
  <w:style w:type="character" w:styleId="Ttulo6Char" w:customStyle="1">
    <w:name w:val="Título 6 Char"/>
    <w:basedOn w:val="DefaultParagraphFont"/>
    <w:uiPriority w:val="9"/>
    <w:semiHidden/>
    <w:qFormat/>
    <w:rsid w:val="002379d7"/>
    <w:rPr>
      <w:rFonts w:ascii="Cambria" w:hAnsi="Cambria" w:eastAsia="" w:cs="" w:asciiTheme="majorHAnsi" w:cstheme="majorBidi" w:eastAsiaTheme="majorEastAsia" w:hAnsiTheme="majorHAnsi"/>
      <w:color w:themeColor="accent1" w:themeShade="7f" w:val="243F60"/>
    </w:rPr>
  </w:style>
  <w:style w:type="character" w:styleId="Ttulo7Char" w:customStyle="1">
    <w:name w:val="Título 7 Char"/>
    <w:basedOn w:val="DefaultParagraphFont"/>
    <w:uiPriority w:val="9"/>
    <w:semiHidden/>
    <w:qFormat/>
    <w:rsid w:val="002379d7"/>
    <w:rPr>
      <w:rFonts w:ascii="Cambria" w:hAnsi="Cambria" w:eastAsia="" w:cs="" w:asciiTheme="majorHAnsi" w:cstheme="majorBidi" w:eastAsiaTheme="majorEastAsia" w:hAnsiTheme="majorHAnsi"/>
      <w:i/>
      <w:iCs/>
      <w:color w:themeColor="accent1" w:themeShade="7f" w:val="243F60"/>
    </w:rPr>
  </w:style>
  <w:style w:type="character" w:styleId="Ttulo8Char" w:customStyle="1">
    <w:name w:val="Título 8 Char"/>
    <w:basedOn w:val="DefaultParagraphFont"/>
    <w:uiPriority w:val="9"/>
    <w:semiHidden/>
    <w:qFormat/>
    <w:rsid w:val="002379d7"/>
    <w:rPr>
      <w:rFonts w:ascii="Cambria" w:hAnsi="Cambria" w:eastAsia="" w:cs="" w:asciiTheme="majorHAnsi" w:cstheme="majorBidi" w:eastAsiaTheme="majorEastAsia" w:hAnsiTheme="majorHAnsi"/>
      <w:color w:themeColor="text1" w:themeTint="d8" w:val="272727"/>
      <w:sz w:val="21"/>
      <w:szCs w:val="21"/>
    </w:rPr>
  </w:style>
  <w:style w:type="character" w:styleId="Ttulo9Char" w:customStyle="1">
    <w:name w:val="Título 9 Char"/>
    <w:basedOn w:val="DefaultParagraphFont"/>
    <w:uiPriority w:val="9"/>
    <w:semiHidden/>
    <w:qFormat/>
    <w:rsid w:val="002379d7"/>
    <w:rPr>
      <w:rFonts w:ascii="Cambria" w:hAnsi="Cambria" w:eastAsia="" w:cs="" w:asciiTheme="majorHAnsi" w:cstheme="majorBidi" w:eastAsiaTheme="majorEastAsia" w:hAnsiTheme="majorHAnsi"/>
      <w:i/>
      <w:iCs/>
      <w:color w:themeColor="text1" w:themeTint="d8" w:val="272727"/>
      <w:sz w:val="21"/>
      <w:szCs w:val="21"/>
    </w:rPr>
  </w:style>
  <w:style w:type="character" w:styleId="CharacterStyle1" w:customStyle="1">
    <w:name w:val="Character Style 1"/>
    <w:uiPriority w:val="99"/>
    <w:qFormat/>
    <w:rsid w:val="002379d7"/>
    <w:rPr>
      <w:sz w:val="20"/>
      <w:szCs w:val="20"/>
    </w:rPr>
  </w:style>
  <w:style w:type="character" w:styleId="title-list" w:customStyle="1">
    <w:name w:val="title-list"/>
    <w:basedOn w:val="DefaultParagraphFont"/>
    <w:qFormat/>
    <w:rsid w:val="002379d7"/>
    <w:rPr/>
  </w:style>
  <w:style w:type="character" w:styleId="Strong">
    <w:name w:val="Strong"/>
    <w:basedOn w:val="DefaultParagraphFont"/>
    <w:uiPriority w:val="22"/>
    <w:qFormat/>
    <w:rsid w:val="002379d7"/>
    <w:rPr>
      <w:b/>
      <w:bCs/>
    </w:rPr>
  </w:style>
  <w:style w:type="character" w:styleId="FollowedHyperlink">
    <w:name w:val="FollowedHyperlink"/>
    <w:basedOn w:val="DefaultParagraphFont"/>
    <w:uiPriority w:val="99"/>
    <w:semiHidden/>
    <w:unhideWhenUsed/>
    <w:rsid w:val="002379d7"/>
    <w:rPr>
      <w:color w:themeColor="followedHyperlink" w:val="800080"/>
      <w:u w:val="single"/>
    </w:rPr>
  </w:style>
  <w:style w:type="character" w:styleId="markedcontent" w:customStyle="1">
    <w:name w:val="markedcontent"/>
    <w:basedOn w:val="DefaultParagraphFont"/>
    <w:qFormat/>
    <w:rsid w:val="00b90669"/>
    <w:rPr/>
  </w:style>
  <w:style w:type="character" w:styleId="MenoPendente1" w:customStyle="1">
    <w:name w:val="Menção Pendente1"/>
    <w:basedOn w:val="DefaultParagraphFont"/>
    <w:uiPriority w:val="99"/>
    <w:semiHidden/>
    <w:unhideWhenUsed/>
    <w:qFormat/>
    <w:rsid w:val="00501fe8"/>
    <w:rPr>
      <w:color w:val="605E5C"/>
      <w:shd w:fill="E1DFDD" w:val="clear"/>
    </w:rPr>
  </w:style>
  <w:style w:type="character" w:styleId="MenoPendente2" w:customStyle="1">
    <w:name w:val="Menção Pendente2"/>
    <w:basedOn w:val="DefaultParagraphFont"/>
    <w:uiPriority w:val="99"/>
    <w:semiHidden/>
    <w:unhideWhenUsed/>
    <w:qFormat/>
    <w:rsid w:val="00501fe8"/>
    <w:rPr>
      <w:color w:val="605E5C"/>
      <w:shd w:fill="E1DFDD" w:val="clear"/>
    </w:rPr>
  </w:style>
  <w:style w:type="character" w:styleId="MenoPendente3" w:customStyle="1">
    <w:name w:val="Menção Pendente3"/>
    <w:basedOn w:val="DefaultParagraphFont"/>
    <w:uiPriority w:val="99"/>
    <w:semiHidden/>
    <w:unhideWhenUsed/>
    <w:qFormat/>
    <w:rsid w:val="00501fe8"/>
    <w:rPr>
      <w:color w:val="605E5C"/>
      <w:shd w:fill="E1DFDD" w:val="clear"/>
    </w:rPr>
  </w:style>
  <w:style w:type="character" w:styleId="CorpodetextoChar" w:customStyle="1">
    <w:name w:val="Corpo de texto Char"/>
    <w:basedOn w:val="DefaultParagraphFont"/>
    <w:link w:val="Textbody"/>
    <w:qFormat/>
    <w:rsid w:val="00790fb6"/>
    <w:rPr>
      <w:rFonts w:ascii="Arial MT" w:hAnsi="Arial MT" w:eastAsia="Arial MT" w:cs="Arial MT"/>
      <w:sz w:val="24"/>
      <w:szCs w:val="24"/>
      <w:lang w:val="pt-PT"/>
    </w:rPr>
  </w:style>
  <w:style w:type="character" w:styleId="RecuodecorpodetextoChar" w:customStyle="1">
    <w:name w:val="Recuo de corpo de texto Char"/>
    <w:basedOn w:val="DefaultParagraphFont"/>
    <w:link w:val="BodyTextIndented"/>
    <w:qFormat/>
    <w:rsid w:val="00790fb6"/>
    <w:rPr/>
  </w:style>
  <w:style w:type="character" w:styleId="text-truncate-expanded" w:customStyle="1">
    <w:name w:val="text-truncate-expanded"/>
    <w:basedOn w:val="DefaultParagraphFont"/>
    <w:qFormat/>
    <w:rsid w:val="008c4aec"/>
    <w:rPr/>
  </w:style>
  <w:style w:type="character" w:styleId="CLUSULAChar" w:customStyle="1">
    <w:name w:val="CLÁUSULA Char"/>
    <w:basedOn w:val="DefaultParagraphFont"/>
    <w:link w:val="CLUSULA"/>
    <w:qFormat/>
    <w:rsid w:val="008c4aec"/>
    <w:rPr>
      <w:rFonts w:ascii="Arial" w:hAnsi="Arial" w:eastAsia="Calibri" w:cs="Arial"/>
      <w:b/>
      <w:bCs/>
      <w:szCs w:val="24"/>
    </w:rPr>
  </w:style>
  <w:style w:type="character" w:styleId="ITENSDOCONTRATOChar" w:customStyle="1">
    <w:name w:val="ITENS DO CONTRATO Char"/>
    <w:basedOn w:val="DefaultParagraphFont"/>
    <w:link w:val="ITENSDOCONTRATO"/>
    <w:qFormat/>
    <w:rsid w:val="008c4aec"/>
    <w:rPr>
      <w:rFonts w:ascii="Arial" w:hAnsi="Arial" w:eastAsia="Calibri" w:cs="Arial"/>
      <w:bCs/>
      <w:szCs w:val="24"/>
    </w:rPr>
  </w:style>
  <w:style w:type="character" w:styleId="add-or" w:customStyle="1">
    <w:name w:val="add-or"/>
    <w:qFormat/>
    <w:rsid w:val="00ff7257"/>
    <w:rPr/>
  </w:style>
  <w:style w:type="character" w:styleId="CharChar12" w:customStyle="1">
    <w:name w:val="Char Char12"/>
    <w:semiHidden/>
    <w:qFormat/>
    <w:locked/>
    <w:rsid w:val="00ff7257"/>
    <w:rPr>
      <w:rFonts w:ascii="Cambria" w:hAnsi="Cambria" w:eastAsia="MS Minngs"/>
      <w:sz w:val="24"/>
      <w:szCs w:val="24"/>
      <w:lang w:val="x-none" w:eastAsia="x-none" w:bidi="ar-SA"/>
    </w:rPr>
  </w:style>
  <w:style w:type="character" w:styleId="PageNumber">
    <w:name w:val="Page Number"/>
    <w:qFormat/>
    <w:rsid w:val="00ff7257"/>
    <w:rPr/>
  </w:style>
  <w:style w:type="character" w:styleId="CharChar11" w:customStyle="1">
    <w:name w:val="Char Char11"/>
    <w:semiHidden/>
    <w:qFormat/>
    <w:locked/>
    <w:rsid w:val="00ff7257"/>
    <w:rPr>
      <w:rFonts w:ascii="Cambria" w:hAnsi="Cambria" w:eastAsia="MS Minngs"/>
      <w:sz w:val="24"/>
      <w:szCs w:val="24"/>
      <w:lang w:val="x-none" w:eastAsia="x-none" w:bidi="ar-SA"/>
    </w:rPr>
  </w:style>
  <w:style w:type="character" w:styleId="CharChar9" w:customStyle="1">
    <w:name w:val="Char Char9"/>
    <w:semiHidden/>
    <w:qFormat/>
    <w:rsid w:val="00ff7257"/>
    <w:rPr>
      <w:rFonts w:ascii="Cambria" w:hAnsi="Cambria" w:eastAsia="MS Minngs"/>
      <w:sz w:val="24"/>
      <w:szCs w:val="24"/>
      <w:lang w:val="x-none" w:eastAsia="en-US" w:bidi="ar-SA"/>
    </w:rPr>
  </w:style>
  <w:style w:type="character" w:styleId="t202654" w:customStyle="1">
    <w:name w:val="t202654"/>
    <w:semiHidden/>
    <w:qFormat/>
    <w:rsid w:val="00ff7257"/>
    <w:rPr>
      <w:rFonts w:ascii="Verdana" w:hAnsi="Verdana" w:cs="Verdana"/>
      <w:i/>
      <w:iCs/>
      <w:color w:val="000080"/>
      <w:sz w:val="22"/>
      <w:szCs w:val="22"/>
      <w:u w:val="none"/>
    </w:rPr>
  </w:style>
  <w:style w:type="character" w:styleId="Partesuperior-zdoformulrioChar" w:customStyle="1">
    <w:name w:val="Parte superior-z do formulário Char"/>
    <w:basedOn w:val="DefaultParagraphFont"/>
    <w:link w:val="HTMLTopofForm"/>
    <w:qFormat/>
    <w:rsid w:val="00ff7257"/>
    <w:rPr>
      <w:rFonts w:ascii="Arial" w:hAnsi="Arial" w:eastAsia="Times New Roman" w:cs="Arial"/>
      <w:vanish/>
      <w:sz w:val="16"/>
      <w:szCs w:val="16"/>
      <w:lang w:eastAsia="pt-BR"/>
    </w:rPr>
  </w:style>
  <w:style w:type="character" w:styleId="CharacterStyle2" w:customStyle="1">
    <w:name w:val="Character Style 2"/>
    <w:uiPriority w:val="99"/>
    <w:qFormat/>
    <w:rsid w:val="00ff7257"/>
    <w:rPr>
      <w:sz w:val="20"/>
      <w:szCs w:val="20"/>
    </w:rPr>
  </w:style>
  <w:style w:type="character" w:styleId="Corpodetexto3Char" w:customStyle="1">
    <w:name w:val="Corpo de texto 3 Char"/>
    <w:basedOn w:val="DefaultParagraphFont"/>
    <w:link w:val="BodyText3"/>
    <w:qFormat/>
    <w:rsid w:val="00ff7257"/>
    <w:rPr>
      <w:rFonts w:ascii="Cambria" w:hAnsi="Cambria" w:eastAsia="MS Minngs" w:cs="Cambria"/>
      <w:sz w:val="16"/>
      <w:szCs w:val="16"/>
    </w:rPr>
  </w:style>
  <w:style w:type="character" w:styleId="Corpodetexto2Char" w:customStyle="1">
    <w:name w:val="Corpo de texto 2 Char"/>
    <w:basedOn w:val="DefaultParagraphFont"/>
    <w:link w:val="BodyText2"/>
    <w:qFormat/>
    <w:rsid w:val="00ff7257"/>
    <w:rPr>
      <w:rFonts w:ascii="Cambria" w:hAnsi="Cambria" w:eastAsia="MS Minngs" w:cs="Cambria"/>
      <w:sz w:val="24"/>
      <w:szCs w:val="24"/>
    </w:rPr>
  </w:style>
  <w:style w:type="character" w:styleId="Estilo2-TCEChar" w:customStyle="1">
    <w:name w:val="Estilo2 -TCE Char"/>
    <w:link w:val="Estilo2-TCE"/>
    <w:qFormat/>
    <w:rsid w:val="00ff7257"/>
    <w:rPr>
      <w:rFonts w:ascii="Arial" w:hAnsi="Arial" w:eastAsia="TimesNewRomanPS-BoldMT" w:cs="Arial"/>
    </w:rPr>
  </w:style>
  <w:style w:type="character" w:styleId="11TRChar" w:customStyle="1">
    <w:name w:val="1.1 TR Char"/>
    <w:basedOn w:val="PargrafodaListaChar"/>
    <w:link w:val="11TR"/>
    <w:qFormat/>
    <w:rsid w:val="00ff7257"/>
    <w:rPr>
      <w:rFonts w:ascii="Arial" w:hAnsi="Arial" w:cs="Arial"/>
      <w:sz w:val="24"/>
      <w:szCs w:val="24"/>
    </w:rPr>
  </w:style>
  <w:style w:type="character" w:styleId="textrun" w:customStyle="1">
    <w:name w:val="textrun"/>
    <w:basedOn w:val="DefaultParagraphFont"/>
    <w:qFormat/>
    <w:rsid w:val="00ff7257"/>
    <w:rPr/>
  </w:style>
  <w:style w:type="character" w:styleId="normaltextrun" w:customStyle="1">
    <w:name w:val="normaltextrun"/>
    <w:basedOn w:val="DefaultParagraphFont"/>
    <w:qFormat/>
    <w:rsid w:val="00ff7257"/>
    <w:rPr/>
  </w:style>
  <w:style w:type="character" w:styleId="eop" w:customStyle="1">
    <w:name w:val="eop"/>
    <w:basedOn w:val="DefaultParagraphFont"/>
    <w:qFormat/>
    <w:rsid w:val="00ff7257"/>
    <w:rPr/>
  </w:style>
  <w:style w:type="character" w:styleId="pagebreakblob" w:customStyle="1">
    <w:name w:val="pagebreakblob"/>
    <w:basedOn w:val="DefaultParagraphFont"/>
    <w:qFormat/>
    <w:rsid w:val="00ff7257"/>
    <w:rPr/>
  </w:style>
  <w:style w:type="character" w:styleId="linebreakblob" w:customStyle="1">
    <w:name w:val="linebreakblob"/>
    <w:basedOn w:val="DefaultParagraphFont"/>
    <w:qFormat/>
    <w:rsid w:val="00ff7257"/>
    <w:rPr/>
  </w:style>
  <w:style w:type="character" w:styleId="scxw192282914" w:customStyle="1">
    <w:name w:val="scxw192282914"/>
    <w:basedOn w:val="DefaultParagraphFont"/>
    <w:qFormat/>
    <w:rsid w:val="00ff7257"/>
    <w:rPr/>
  </w:style>
  <w:style w:type="character" w:styleId="mathequationcontainer" w:customStyle="1">
    <w:name w:val="mathequationcontainer"/>
    <w:basedOn w:val="DefaultParagraphFont"/>
    <w:qFormat/>
    <w:rsid w:val="00ff7257"/>
    <w:rPr/>
  </w:style>
  <w:style w:type="character" w:styleId="mathspan" w:customStyle="1">
    <w:name w:val="mathspan"/>
    <w:basedOn w:val="DefaultParagraphFont"/>
    <w:qFormat/>
    <w:rsid w:val="00ff7257"/>
    <w:rPr/>
  </w:style>
  <w:style w:type="character" w:styleId="mathjaxpreview" w:customStyle="1">
    <w:name w:val="mathjax_preview"/>
    <w:basedOn w:val="DefaultParagraphFont"/>
    <w:qFormat/>
    <w:rsid w:val="00ff7257"/>
    <w:rPr/>
  </w:style>
  <w:style w:type="character" w:styleId="mathjax" w:customStyle="1">
    <w:name w:val="mathjax"/>
    <w:basedOn w:val="DefaultParagraphFont"/>
    <w:qFormat/>
    <w:rsid w:val="00ff7257"/>
    <w:rPr/>
  </w:style>
  <w:style w:type="character" w:styleId="math" w:customStyle="1">
    <w:name w:val="math"/>
    <w:basedOn w:val="DefaultParagraphFont"/>
    <w:qFormat/>
    <w:rsid w:val="00ff7257"/>
    <w:rPr/>
  </w:style>
  <w:style w:type="character" w:styleId="mrow" w:customStyle="1">
    <w:name w:val="mrow"/>
    <w:basedOn w:val="DefaultParagraphFont"/>
    <w:qFormat/>
    <w:rsid w:val="00ff7257"/>
    <w:rPr/>
  </w:style>
  <w:style w:type="character" w:styleId="mi" w:customStyle="1">
    <w:name w:val="mi"/>
    <w:basedOn w:val="DefaultParagraphFont"/>
    <w:qFormat/>
    <w:rsid w:val="00ff7257"/>
    <w:rPr/>
  </w:style>
  <w:style w:type="character" w:styleId="mo" w:customStyle="1">
    <w:name w:val="mo"/>
    <w:basedOn w:val="DefaultParagraphFont"/>
    <w:qFormat/>
    <w:rsid w:val="00ff7257"/>
    <w:rPr/>
  </w:style>
  <w:style w:type="character" w:styleId="mfrac" w:customStyle="1">
    <w:name w:val="mfrac"/>
    <w:basedOn w:val="DefaultParagraphFont"/>
    <w:qFormat/>
    <w:rsid w:val="00ff7257"/>
    <w:rPr/>
  </w:style>
  <w:style w:type="character" w:styleId="mn" w:customStyle="1">
    <w:name w:val="mn"/>
    <w:basedOn w:val="DefaultParagraphFont"/>
    <w:qFormat/>
    <w:rsid w:val="00ff7257"/>
    <w:rPr/>
  </w:style>
  <w:style w:type="character" w:styleId="mjxassistivemathml" w:customStyle="1">
    <w:name w:val="mjx_assistive_mathml"/>
    <w:basedOn w:val="DefaultParagraphFont"/>
    <w:qFormat/>
    <w:rsid w:val="00ff7257"/>
    <w:rPr/>
  </w:style>
  <w:style w:type="character" w:styleId="scxw121490529" w:customStyle="1">
    <w:name w:val="scxw121490529"/>
    <w:basedOn w:val="DefaultParagraphFont"/>
    <w:qFormat/>
    <w:rsid w:val="00ff7257"/>
    <w:rPr/>
  </w:style>
  <w:style w:type="character" w:styleId="scxw116980416" w:customStyle="1">
    <w:name w:val="scxw116980416"/>
    <w:basedOn w:val="DefaultParagraphFont"/>
    <w:qFormat/>
    <w:rsid w:val="00ff7257"/>
    <w:rPr/>
  </w:style>
  <w:style w:type="character" w:styleId="CitaoChar" w:customStyle="1">
    <w:name w:val="Citação Char"/>
    <w:basedOn w:val="DefaultParagraphFont"/>
    <w:link w:val="Quote"/>
    <w:qFormat/>
    <w:rsid w:val="002466cc"/>
    <w:rPr>
      <w:rFonts w:ascii="Arial" w:hAnsi="Arial" w:eastAsia="Calibri" w:cs="Tahoma"/>
      <w:i/>
      <w:iCs/>
      <w:color w:val="000000"/>
      <w:sz w:val="20"/>
      <w:szCs w:val="24"/>
      <w:shd w:fill="FFFFCC" w:val="clear"/>
    </w:rPr>
  </w:style>
  <w:style w:type="character" w:styleId="CitaoChar1" w:customStyle="1">
    <w:name w:val="Citação Char1"/>
    <w:basedOn w:val="DefaultParagraphFont"/>
    <w:uiPriority w:val="29"/>
    <w:qFormat/>
    <w:rsid w:val="002466cc"/>
    <w:rPr>
      <w:i/>
      <w:iCs/>
      <w:color w:themeColor="text1" w:themeTint="bf" w:val="404040"/>
    </w:rPr>
  </w:style>
  <w:style w:type="character" w:styleId="WW8Num3z1" w:customStyle="1">
    <w:name w:val="WW8Num3z1"/>
    <w:qFormat/>
    <w:rsid w:val="002466cc"/>
    <w:rPr>
      <w:rFonts w:ascii="Symbol" w:hAnsi="Symbol" w:cs="Symbol"/>
    </w:rPr>
  </w:style>
  <w:style w:type="character" w:styleId="InternetLink1">
    <w:name w:val="Internet Link1"/>
    <w:qFormat/>
    <w:rPr>
      <w:color w:val="000080"/>
      <w:u w:val="single"/>
    </w:rPr>
  </w:style>
  <w:style w:type="character" w:styleId="Fontepargpadro">
    <w:name w:val="Fonte parág. padrão"/>
    <w:qFormat/>
    <w:rPr/>
  </w:style>
  <w:style w:type="character" w:styleId="WW8Num3z0">
    <w:name w:val="WW8Num3z0"/>
    <w:qFormat/>
    <w:rPr>
      <w:rFonts w:ascii="Symbol" w:hAnsi="Symbol" w:cs="OpenSymbol;Arial Unicode MS"/>
      <w:sz w:val="20"/>
      <w:szCs w:val="20"/>
    </w:rPr>
  </w:style>
  <w:style w:type="character" w:styleId="Smbolosdenumerao">
    <w:name w:val="Símbolos de numeração"/>
    <w:qFormat/>
    <w:rPr>
      <w:b/>
      <w:bCs/>
    </w:rPr>
  </w:style>
  <w:style w:type="character" w:styleId="InternetLink2">
    <w:name w:val="Internet Link2"/>
    <w:qFormat/>
    <w:rPr>
      <w:color w:val="000080"/>
      <w:u w:val="single"/>
    </w:rPr>
  </w:style>
  <w:style w:type="character" w:styleId="Marcadores">
    <w:name w:val="Marcadores"/>
    <w:qFormat/>
    <w:rPr>
      <w:rFonts w:ascii="OpenSymbol" w:hAnsi="OpenSymbol" w:eastAsia="OpenSymbol" w:cs="OpenSymbol"/>
      <w:sz w:val="22"/>
      <w:szCs w:val="22"/>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qFormat/>
    <w:rsid w:val="00790fb6"/>
    <w:pPr>
      <w:widowControl w:val="false"/>
      <w:spacing w:lineRule="auto" w:line="240" w:before="0" w:after="0"/>
    </w:pPr>
    <w:rPr>
      <w:rFonts w:ascii="Arial MT" w:hAnsi="Arial MT" w:eastAsia="Arial MT" w:cs="Arial MT"/>
      <w:sz w:val="24"/>
      <w:szCs w:val="24"/>
      <w:lang w:val="pt-PT"/>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link w:val="CabealhoChar"/>
    <w:unhideWhenUsed/>
    <w:rsid w:val="00ec7082"/>
    <w:pPr>
      <w:tabs>
        <w:tab w:val="clear" w:pos="708"/>
        <w:tab w:val="center" w:pos="4252" w:leader="none"/>
        <w:tab w:val="right" w:pos="8504" w:leader="none"/>
      </w:tabs>
      <w:spacing w:lineRule="auto" w:line="240" w:before="0" w:after="0"/>
    </w:pPr>
    <w:rPr/>
  </w:style>
  <w:style w:type="paragraph" w:styleId="Footer">
    <w:name w:val="Footer"/>
    <w:basedOn w:val="Normal"/>
    <w:link w:val="RodapChar"/>
    <w:unhideWhenUsed/>
    <w:rsid w:val="00ec7082"/>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baloChar"/>
    <w:unhideWhenUsed/>
    <w:qFormat/>
    <w:rsid w:val="00ec7082"/>
    <w:pPr>
      <w:spacing w:lineRule="auto" w:line="240" w:before="0" w:after="0"/>
    </w:pPr>
    <w:rPr>
      <w:rFonts w:ascii="Tahoma" w:hAnsi="Tahoma" w:cs="Tahoma"/>
      <w:sz w:val="16"/>
      <w:szCs w:val="16"/>
    </w:rPr>
  </w:style>
  <w:style w:type="paragraph" w:styleId="ListParagraph">
    <w:name w:val="List Paragraph"/>
    <w:basedOn w:val="Normal"/>
    <w:link w:val="PargrafodaListaChar"/>
    <w:qFormat/>
    <w:rsid w:val="00c14f13"/>
    <w:pPr>
      <w:spacing w:before="0" w:after="200"/>
      <w:ind w:left="720"/>
      <w:contextualSpacing/>
    </w:pPr>
    <w:rPr/>
  </w:style>
  <w:style w:type="paragraph" w:styleId="NormalWeb">
    <w:name w:val="Normal (Web)"/>
    <w:basedOn w:val="Normal"/>
    <w:uiPriority w:val="99"/>
    <w:unhideWhenUsed/>
    <w:qFormat/>
    <w:rsid w:val="00e17e47"/>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semiHidden/>
    <w:unhideWhenUsed/>
    <w:qFormat/>
    <w:rsid w:val="007f16bb"/>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7f16bb"/>
    <w:pPr/>
    <w:rPr>
      <w:b/>
      <w:bCs/>
    </w:rPr>
  </w:style>
  <w:style w:type="paragraph" w:styleId="Aviso-ClusulaPrincipal" w:customStyle="1">
    <w:name w:val="Aviso - Cláusula Principal"/>
    <w:basedOn w:val="Heading1"/>
    <w:qFormat/>
    <w:rsid w:val="00bf349c"/>
    <w:pPr>
      <w:snapToGrid w:val="false"/>
      <w:spacing w:lineRule="auto" w:line="360" w:before="240" w:after="240"/>
      <w:ind w:right="-30"/>
      <w:jc w:val="both"/>
    </w:pPr>
    <w:rPr>
      <w:rFonts w:ascii="Arial" w:hAnsi="Arial" w:eastAsia="Times New Roman" w:cs="Arial"/>
      <w:b/>
      <w:color w:themeColor="accent1" w:themeShade="bf" w:val="000000"/>
      <w:sz w:val="24"/>
      <w:szCs w:val="24"/>
      <w:lang w:eastAsia="pt-BR"/>
    </w:rPr>
  </w:style>
  <w:style w:type="paragraph" w:styleId="Aviso-ClusulaSecundria-11" w:customStyle="1">
    <w:name w:val="Aviso - Cláusula Secundária - 1.1"/>
    <w:basedOn w:val="Normal"/>
    <w:autoRedefine/>
    <w:qFormat/>
    <w:rsid w:val="00542ed5"/>
    <w:pPr>
      <w:numPr>
        <w:ilvl w:val="1"/>
        <w:numId w:val="1"/>
      </w:numPr>
      <w:spacing w:lineRule="auto" w:line="360" w:before="0" w:after="240"/>
      <w:ind w:hanging="567" w:left="1134"/>
      <w:jc w:val="both"/>
      <w:textAlignment w:val="baseline"/>
    </w:pPr>
    <w:rPr>
      <w:rFonts w:ascii="Arial" w:hAnsi="Arial" w:eastAsia="WenQuanYi Micro Hei" w:cs="Arial"/>
      <w:color w:val="000000"/>
      <w:sz w:val="24"/>
      <w:szCs w:val="24"/>
      <w:lang w:eastAsia="zh-CN" w:bidi="hi-IN"/>
    </w:rPr>
  </w:style>
  <w:style w:type="paragraph" w:styleId="Aviso-ClusulaSecundria-111" w:customStyle="1">
    <w:name w:val="Aviso - Cláusula Secundária - 1.1.1"/>
    <w:basedOn w:val="Normal"/>
    <w:qFormat/>
    <w:rsid w:val="00497660"/>
    <w:pPr>
      <w:numPr>
        <w:ilvl w:val="2"/>
        <w:numId w:val="1"/>
      </w:numPr>
      <w:spacing w:lineRule="auto" w:line="360" w:before="0" w:after="240"/>
      <w:ind w:hanging="851" w:left="1985"/>
      <w:jc w:val="both"/>
      <w:textAlignment w:val="baseline"/>
    </w:pPr>
    <w:rPr>
      <w:rFonts w:ascii="Arial" w:hAnsi="Arial" w:eastAsia="WenQuanYi Micro Hei" w:cs="Arial"/>
      <w:sz w:val="24"/>
      <w:szCs w:val="24"/>
      <w:lang w:eastAsia="zh-CN" w:bidi="hi-IN"/>
    </w:rPr>
  </w:style>
  <w:style w:type="paragraph" w:styleId="Aviso-ClusulaSecundria-1111" w:customStyle="1">
    <w:name w:val="Aviso - Cláusula Secundária - 1.1.1.1"/>
    <w:basedOn w:val="Normal"/>
    <w:qFormat/>
    <w:rsid w:val="006f5067"/>
    <w:pPr>
      <w:numPr>
        <w:ilvl w:val="3"/>
        <w:numId w:val="1"/>
      </w:numPr>
      <w:spacing w:lineRule="auto" w:line="360" w:before="0" w:after="240"/>
      <w:ind w:hanging="992" w:left="2977"/>
      <w:jc w:val="both"/>
      <w:textAlignment w:val="baseline"/>
    </w:pPr>
    <w:rPr>
      <w:rFonts w:ascii="Arial" w:hAnsi="Arial" w:eastAsia="WenQuanYi Micro Hei" w:cs="Arial"/>
      <w:sz w:val="24"/>
      <w:szCs w:val="24"/>
      <w:lang w:eastAsia="zh-CN" w:bidi="hi-IN"/>
    </w:rPr>
  </w:style>
  <w:style w:type="paragraph" w:styleId="NoSpacing">
    <w:name w:val="No Spacing"/>
    <w:uiPriority w:val="1"/>
    <w:qFormat/>
    <w:rsid w:val="005a3a3e"/>
    <w:pPr>
      <w:widowControl/>
      <w:suppressAutoHyphens w:val="true"/>
      <w:bidi w:val="0"/>
      <w:spacing w:before="0" w:after="0"/>
      <w:jc w:val="left"/>
    </w:pPr>
    <w:rPr>
      <w:rFonts w:ascii="Times New Roman" w:hAnsi="Times New Roman" w:eastAsia="Times New Roman" w:cs="Times New Roman"/>
      <w:color w:val="auto"/>
      <w:kern w:val="0"/>
      <w:sz w:val="20"/>
      <w:szCs w:val="20"/>
      <w:lang w:val="pt-BR" w:eastAsia="en-US" w:bidi="ar-SA"/>
    </w:rPr>
  </w:style>
  <w:style w:type="paragraph" w:styleId="BodyText21" w:customStyle="1">
    <w:name w:val="Body Text 21"/>
    <w:basedOn w:val="Normal"/>
    <w:qFormat/>
    <w:rsid w:val="002379d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240" w:before="0" w:after="0"/>
      <w:jc w:val="both"/>
      <w:textAlignment w:val="baseline"/>
    </w:pPr>
    <w:rPr>
      <w:rFonts w:ascii="Arial" w:hAnsi="Arial" w:eastAsia="Times New Roman" w:cs="Times New Roman"/>
      <w:sz w:val="24"/>
      <w:szCs w:val="20"/>
    </w:rPr>
  </w:style>
  <w:style w:type="paragraph" w:styleId="Default" w:customStyle="1">
    <w:name w:val="Default"/>
    <w:qFormat/>
    <w:rsid w:val="002379d7"/>
    <w:pPr>
      <w:widowControl/>
      <w:suppressAutoHyphens w:val="true"/>
      <w:bidi w:val="0"/>
      <w:spacing w:before="0" w:after="0"/>
      <w:jc w:val="left"/>
    </w:pPr>
    <w:rPr>
      <w:rFonts w:ascii="Segoe UI" w:hAnsi="Segoe UI" w:eastAsia="MS Mincho" w:cs="Segoe UI"/>
      <w:color w:val="000000"/>
      <w:kern w:val="0"/>
      <w:sz w:val="24"/>
      <w:szCs w:val="24"/>
      <w:lang w:val="pt-BR" w:eastAsia="pt-BR" w:bidi="ar-SA"/>
    </w:rPr>
  </w:style>
  <w:style w:type="paragraph" w:styleId="Style11" w:customStyle="1">
    <w:name w:val="Style 1"/>
    <w:basedOn w:val="Normal"/>
    <w:uiPriority w:val="99"/>
    <w:qFormat/>
    <w:rsid w:val="002379d7"/>
    <w:pPr>
      <w:widowControl w:val="false"/>
      <w:spacing w:lineRule="auto" w:line="240" w:before="0" w:after="0"/>
    </w:pPr>
    <w:rPr>
      <w:rFonts w:ascii="Times New Roman" w:hAnsi="Times New Roman" w:eastAsia="Times New Roman" w:cs="Times New Roman"/>
      <w:sz w:val="20"/>
      <w:szCs w:val="20"/>
      <w:lang w:eastAsia="pt-BR"/>
    </w:rPr>
  </w:style>
  <w:style w:type="paragraph" w:styleId="col-sm-6" w:customStyle="1">
    <w:name w:val="col-sm-6"/>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col-sm-12" w:customStyle="1">
    <w:name w:val="col-sm-12"/>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Textbody" w:customStyle="1">
    <w:name w:val="Text body"/>
    <w:basedOn w:val="Normal"/>
    <w:link w:val="CorpodetextoChar"/>
    <w:qFormat/>
    <w:rsid w:val="002379d7"/>
    <w:pPr>
      <w:widowControl w:val="false"/>
      <w:spacing w:lineRule="auto" w:line="240" w:before="0" w:after="120"/>
      <w:textAlignment w:val="baseline"/>
    </w:pPr>
    <w:rPr>
      <w:rFonts w:ascii="Times New Roman" w:hAnsi="Times New Roman" w:eastAsia="SimSun" w:cs="Tahoma"/>
      <w:kern w:val="2"/>
      <w:sz w:val="24"/>
      <w:szCs w:val="24"/>
      <w:lang w:eastAsia="zh-CN" w:bidi="hi-IN"/>
    </w:rPr>
  </w:style>
  <w:style w:type="paragraph" w:styleId="xmsonormal" w:customStyle="1">
    <w:name w:val="x_msonormal"/>
    <w:basedOn w:val="Normal"/>
    <w:uiPriority w:val="99"/>
    <w:qFormat/>
    <w:rsid w:val="002379d7"/>
    <w:pPr>
      <w:spacing w:lineRule="auto" w:line="240" w:before="0" w:after="0"/>
    </w:pPr>
    <w:rPr>
      <w:rFonts w:ascii="Times New Roman" w:hAnsi="Times New Roman" w:cs="Times New Roman"/>
      <w:sz w:val="24"/>
      <w:szCs w:val="24"/>
      <w:lang w:eastAsia="pt-BR"/>
    </w:rPr>
  </w:style>
  <w:style w:type="paragraph" w:styleId="TableParagraph" w:customStyle="1">
    <w:name w:val="Table Paragraph"/>
    <w:basedOn w:val="Normal"/>
    <w:uiPriority w:val="1"/>
    <w:qFormat/>
    <w:rsid w:val="002379d7"/>
    <w:pPr>
      <w:widowControl w:val="false"/>
      <w:spacing w:lineRule="auto" w:line="240" w:before="9" w:after="0"/>
    </w:pPr>
    <w:rPr>
      <w:rFonts w:ascii="Arial" w:hAnsi="Arial" w:eastAsia="Arial" w:cs="Arial"/>
      <w:lang w:val="pt-PT"/>
    </w:rPr>
  </w:style>
  <w:style w:type="paragraph" w:styleId="11TR" w:customStyle="1">
    <w:name w:val="1.1 TR"/>
    <w:basedOn w:val="ListParagraph"/>
    <w:link w:val="11TRChar"/>
    <w:qFormat/>
    <w:rsid w:val="002379d7"/>
    <w:pPr>
      <w:numPr>
        <w:ilvl w:val="1"/>
        <w:numId w:val="2"/>
      </w:numPr>
      <w:spacing w:lineRule="auto" w:line="240" w:before="0" w:after="0"/>
      <w:contextualSpacing w:val="false"/>
      <w:jc w:val="both"/>
    </w:pPr>
    <w:rPr>
      <w:rFonts w:ascii="Arial" w:hAnsi="Arial" w:cs="Arial"/>
      <w:sz w:val="24"/>
      <w:szCs w:val="24"/>
    </w:rPr>
  </w:style>
  <w:style w:type="paragraph" w:styleId="111TR" w:customStyle="1">
    <w:name w:val="1.1.1 TR"/>
    <w:basedOn w:val="ListParagraph"/>
    <w:qFormat/>
    <w:rsid w:val="002379d7"/>
    <w:pPr>
      <w:numPr>
        <w:ilvl w:val="2"/>
        <w:numId w:val="2"/>
      </w:numPr>
      <w:spacing w:lineRule="auto" w:line="240" w:before="0" w:after="0"/>
      <w:contextualSpacing w:val="false"/>
      <w:jc w:val="both"/>
    </w:pPr>
    <w:rPr>
      <w:rFonts w:ascii="Arial" w:hAnsi="Arial" w:cs="Arial"/>
      <w:sz w:val="24"/>
      <w:szCs w:val="24"/>
    </w:rPr>
  </w:style>
  <w:style w:type="paragraph" w:styleId="1111TR" w:customStyle="1">
    <w:name w:val="1.1.1.1 TR"/>
    <w:basedOn w:val="ListParagraph"/>
    <w:qFormat/>
    <w:rsid w:val="002379d7"/>
    <w:pPr>
      <w:numPr>
        <w:ilvl w:val="3"/>
        <w:numId w:val="2"/>
      </w:numPr>
      <w:spacing w:lineRule="auto" w:line="240" w:before="0" w:after="0"/>
      <w:contextualSpacing w:val="false"/>
      <w:jc w:val="both"/>
    </w:pPr>
    <w:rPr>
      <w:rFonts w:ascii="Arial" w:hAnsi="Arial" w:cs="Arial"/>
      <w:sz w:val="24"/>
      <w:szCs w:val="24"/>
    </w:rPr>
  </w:style>
  <w:style w:type="paragraph" w:styleId="1TR" w:customStyle="1">
    <w:name w:val="1. TR"/>
    <w:basedOn w:val="ListParagraph"/>
    <w:qFormat/>
    <w:rsid w:val="002379d7"/>
    <w:pPr>
      <w:numPr>
        <w:ilvl w:val="0"/>
        <w:numId w:val="2"/>
      </w:numPr>
      <w:spacing w:lineRule="auto" w:line="360" w:before="120" w:after="120"/>
      <w:contextualSpacing w:val="false"/>
    </w:pPr>
    <w:rPr>
      <w:rFonts w:ascii="Arial" w:hAnsi="Arial" w:cs="Arial"/>
      <w:b/>
      <w:sz w:val="24"/>
      <w:szCs w:val="24"/>
    </w:rPr>
  </w:style>
  <w:style w:type="paragraph" w:styleId="BodyTextIndented">
    <w:name w:val="Body Text, Indented"/>
    <w:basedOn w:val="Normal"/>
    <w:link w:val="RecuodecorpodetextoChar"/>
    <w:unhideWhenUsed/>
    <w:qFormat/>
    <w:rsid w:val="00790fb6"/>
    <w:pPr>
      <w:spacing w:before="0" w:after="120"/>
      <w:ind w:left="283"/>
    </w:pPr>
    <w:rPr/>
  </w:style>
  <w:style w:type="paragraph" w:styleId="CLUSULA" w:customStyle="1">
    <w:name w:val="CLÁUSULA"/>
    <w:basedOn w:val="ITENSDOCONTRATO"/>
    <w:link w:val="CLUSULAChar"/>
    <w:qFormat/>
    <w:rsid w:val="008c4aec"/>
    <w:pPr/>
    <w:rPr>
      <w:b/>
    </w:rPr>
  </w:style>
  <w:style w:type="paragraph" w:styleId="ITENSDOCONTRATO" w:customStyle="1">
    <w:name w:val="ITENS DO CONTRATO"/>
    <w:basedOn w:val="11TR"/>
    <w:link w:val="ITENSDOCONTRATOChar"/>
    <w:qFormat/>
    <w:rsid w:val="008c4aec"/>
    <w:pPr>
      <w:numPr>
        <w:ilvl w:val="0"/>
        <w:numId w:val="0"/>
      </w:numPr>
      <w:spacing w:lineRule="auto" w:line="360"/>
      <w:ind w:left="720"/>
    </w:pPr>
    <w:rPr>
      <w:rFonts w:eastAsia="Calibri"/>
      <w:bCs/>
      <w:sz w:val="22"/>
    </w:rPr>
  </w:style>
  <w:style w:type="paragraph" w:styleId="PargrafoNormal" w:customStyle="1">
    <w:name w:val="Parágrafo Normal"/>
    <w:basedOn w:val="Normal"/>
    <w:uiPriority w:val="99"/>
    <w:qFormat/>
    <w:rsid w:val="00ff7257"/>
    <w:pPr>
      <w:spacing w:lineRule="auto" w:line="360" w:before="0" w:after="120"/>
      <w:jc w:val="both"/>
    </w:pPr>
    <w:rPr>
      <w:rFonts w:ascii="Times New Roman" w:hAnsi="Times New Roman" w:eastAsia="MS Minngs" w:cs="Times New Roman"/>
      <w:sz w:val="24"/>
      <w:szCs w:val="24"/>
      <w:lang w:eastAsia="pt-BR"/>
    </w:rPr>
  </w:style>
  <w:style w:type="paragraph" w:styleId="Dataeassinatura" w:customStyle="1">
    <w:name w:val="Data e assinatura"/>
    <w:basedOn w:val="Normal"/>
    <w:uiPriority w:val="99"/>
    <w:qFormat/>
    <w:rsid w:val="00ff7257"/>
    <w:pPr>
      <w:spacing w:lineRule="auto" w:line="360" w:before="720" w:after="720"/>
      <w:jc w:val="both"/>
    </w:pPr>
    <w:rPr>
      <w:rFonts w:ascii="Times New Roman" w:hAnsi="Times New Roman" w:eastAsia="MS Minngs" w:cs="Times New Roman"/>
      <w:sz w:val="24"/>
      <w:szCs w:val="24"/>
      <w:lang w:eastAsia="pt-BR"/>
    </w:rPr>
  </w:style>
  <w:style w:type="paragraph" w:styleId="Corpodetexto21" w:customStyle="1">
    <w:name w:val="Corpo de texto 21"/>
    <w:basedOn w:val="Normal"/>
    <w:qFormat/>
    <w:rsid w:val="00ff725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360" w:before="0" w:after="0"/>
      <w:jc w:val="both"/>
      <w:textAlignment w:val="baseline"/>
    </w:pPr>
    <w:rPr>
      <w:rFonts w:ascii="Arial" w:hAnsi="Arial" w:eastAsia="Times New Roman" w:cs="Times New Roman"/>
      <w:sz w:val="24"/>
      <w:szCs w:val="20"/>
    </w:rPr>
  </w:style>
  <w:style w:type="paragraph" w:styleId="Corpo" w:customStyle="1">
    <w:name w:val="Corpo"/>
    <w:qFormat/>
    <w:rsid w:val="00ff7257"/>
    <w:pPr>
      <w:widowControl w:val="false"/>
      <w:suppressAutoHyphens w:val="true"/>
      <w:bidi w:val="0"/>
      <w:spacing w:lineRule="auto" w:line="360" w:before="0" w:after="0"/>
      <w:jc w:val="both"/>
    </w:pPr>
    <w:rPr>
      <w:rFonts w:ascii="Times New Roman" w:hAnsi="Times New Roman" w:eastAsia="Times New Roman" w:cs="Times New Roman"/>
      <w:color w:val="FF0000"/>
      <w:kern w:val="0"/>
      <w:sz w:val="24"/>
      <w:szCs w:val="20"/>
      <w:lang w:val="pt-BR" w:eastAsia="pt-BR" w:bidi="ar-SA"/>
    </w:rPr>
  </w:style>
  <w:style w:type="paragraph" w:styleId="Pargrafomultinvel" w:customStyle="1">
    <w:name w:val="Parágrafo multinível"/>
    <w:basedOn w:val="Normal"/>
    <w:qFormat/>
    <w:rsid w:val="00ff7257"/>
    <w:pPr>
      <w:numPr>
        <w:ilvl w:val="0"/>
        <w:numId w:val="3"/>
      </w:numPr>
      <w:spacing w:lineRule="auto" w:line="360" w:before="0" w:after="120"/>
      <w:jc w:val="both"/>
    </w:pPr>
    <w:rPr>
      <w:rFonts w:ascii="Times New Roman" w:hAnsi="Times New Roman" w:eastAsia="Times New Roman" w:cs="Times New Roman"/>
      <w:sz w:val="24"/>
      <w:szCs w:val="24"/>
      <w:lang w:eastAsia="pt-BR"/>
    </w:rPr>
  </w:style>
  <w:style w:type="paragraph" w:styleId="HTMLTopofForm">
    <w:name w:val="HTML Top of Form"/>
    <w:basedOn w:val="Normal"/>
    <w:next w:val="Normal"/>
    <w:link w:val="Partesuperior-zdoformulrioChar"/>
    <w:qFormat/>
    <w:rsid w:val="00ff7257"/>
    <w:pPr>
      <w:pBdr>
        <w:bottom w:val="single" w:sz="6" w:space="1" w:color="000000"/>
      </w:pBdr>
      <w:spacing w:lineRule="auto" w:line="360" w:before="0" w:after="0"/>
      <w:jc w:val="center"/>
    </w:pPr>
    <w:rPr>
      <w:rFonts w:ascii="Arial" w:hAnsi="Arial" w:eastAsia="Times New Roman" w:cs="Arial"/>
      <w:vanish/>
      <w:sz w:val="16"/>
      <w:szCs w:val="16"/>
      <w:lang w:eastAsia="pt-BR"/>
    </w:rPr>
  </w:style>
  <w:style w:type="paragraph" w:styleId="Style41" w:customStyle="1">
    <w:name w:val="Style 4"/>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3">
    <w:name w:val="Body Text 3"/>
    <w:basedOn w:val="Normal"/>
    <w:link w:val="Corpodetexto3Char"/>
    <w:qFormat/>
    <w:rsid w:val="00ff7257"/>
    <w:pPr>
      <w:spacing w:lineRule="auto" w:line="360" w:before="0" w:after="120"/>
      <w:jc w:val="both"/>
    </w:pPr>
    <w:rPr>
      <w:rFonts w:ascii="Cambria" w:hAnsi="Cambria" w:eastAsia="MS Minngs" w:cs="Cambria"/>
      <w:sz w:val="16"/>
      <w:szCs w:val="16"/>
    </w:rPr>
  </w:style>
  <w:style w:type="paragraph" w:styleId="Style31" w:customStyle="1">
    <w:name w:val="Style 3"/>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2">
    <w:name w:val="Body Text 2"/>
    <w:basedOn w:val="Normal"/>
    <w:link w:val="Corpodetexto2Char"/>
    <w:qFormat/>
    <w:rsid w:val="00ff7257"/>
    <w:pPr>
      <w:spacing w:lineRule="auto" w:line="480" w:before="0" w:after="120"/>
      <w:jc w:val="both"/>
    </w:pPr>
    <w:rPr>
      <w:rFonts w:ascii="Cambria" w:hAnsi="Cambria" w:eastAsia="MS Minngs" w:cs="Cambria"/>
      <w:sz w:val="24"/>
      <w:szCs w:val="24"/>
    </w:rPr>
  </w:style>
  <w:style w:type="paragraph" w:styleId="Estilo1" w:customStyle="1">
    <w:name w:val="Estilo1"/>
    <w:basedOn w:val="ListParagraph"/>
    <w:qFormat/>
    <w:rsid w:val="00ff7257"/>
    <w:pPr>
      <w:widowControl w:val="false"/>
      <w:numPr>
        <w:ilvl w:val="1"/>
        <w:numId w:val="4"/>
      </w:numPr>
      <w:spacing w:lineRule="auto" w:line="360" w:before="240" w:after="240"/>
      <w:contextualSpacing w:val="false"/>
      <w:jc w:val="both"/>
    </w:pPr>
    <w:rPr>
      <w:rFonts w:ascii="Arial" w:hAnsi="Arial" w:eastAsia="Calibri" w:cs="Arial"/>
      <w:sz w:val="24"/>
      <w:szCs w:val="24"/>
    </w:rPr>
  </w:style>
  <w:style w:type="paragraph" w:styleId="Estilo2" w:customStyle="1">
    <w:name w:val="Estilo2"/>
    <w:basedOn w:val="ListParagraph"/>
    <w:qFormat/>
    <w:rsid w:val="00ff7257"/>
    <w:pPr>
      <w:numPr>
        <w:ilvl w:val="2"/>
        <w:numId w:val="4"/>
      </w:numPr>
      <w:spacing w:lineRule="auto" w:line="360" w:before="0" w:after="240"/>
      <w:ind w:hanging="840" w:left="1560"/>
      <w:contextualSpacing w:val="false"/>
      <w:jc w:val="both"/>
    </w:pPr>
    <w:rPr>
      <w:rFonts w:ascii="Arial" w:hAnsi="Arial" w:eastAsia="Calibri" w:cs="Arial"/>
      <w:sz w:val="24"/>
      <w:szCs w:val="24"/>
    </w:rPr>
  </w:style>
  <w:style w:type="paragraph" w:styleId="Estilo3" w:customStyle="1">
    <w:name w:val="Estilo3"/>
    <w:basedOn w:val="Normal"/>
    <w:qFormat/>
    <w:rsid w:val="00ff7257"/>
    <w:pPr>
      <w:numPr>
        <w:ilvl w:val="0"/>
        <w:numId w:val="4"/>
      </w:numPr>
      <w:shd w:val="clear" w:color="auto" w:fill="EEECE1"/>
      <w:spacing w:lineRule="auto" w:line="360" w:before="0" w:after="240"/>
      <w:ind w:hanging="0" w:left="927"/>
      <w:jc w:val="both"/>
    </w:pPr>
    <w:rPr>
      <w:rFonts w:ascii="Arial" w:hAnsi="Arial" w:eastAsia="Times New Roman" w:cs="Arial"/>
      <w:b/>
      <w:bCs/>
      <w:sz w:val="24"/>
      <w:szCs w:val="24"/>
      <w:lang w:eastAsia="pt-BR"/>
    </w:rPr>
  </w:style>
  <w:style w:type="paragraph" w:styleId="Estilo2-TCE" w:customStyle="1">
    <w:name w:val="Estilo2 -TCE"/>
    <w:basedOn w:val="BodyText"/>
    <w:link w:val="Estilo2-TCEChar"/>
    <w:qFormat/>
    <w:rsid w:val="00ff7257"/>
    <w:pPr>
      <w:widowControl/>
      <w:spacing w:lineRule="auto" w:line="276"/>
      <w:jc w:val="both"/>
    </w:pPr>
    <w:rPr>
      <w:rFonts w:ascii="Arial" w:hAnsi="Arial" w:eastAsia="TimesNewRomanPS-BoldMT" w:cs="Arial"/>
      <w:sz w:val="22"/>
      <w:szCs w:val="22"/>
      <w:lang w:val="pt-BR"/>
    </w:rPr>
  </w:style>
  <w:style w:type="paragraph" w:styleId="msonormal" w:customStyle="1">
    <w:name w:val="msonormal"/>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paragraph" w:customStyle="1">
    <w:name w:val="paragraph"/>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outlineelement" w:customStyle="1">
    <w:name w:val="outlineelement"/>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Quote">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Contedodatabela" w:customStyle="1">
    <w:name w:val="Conteúdo da tabela"/>
    <w:basedOn w:val="Normal"/>
    <w:qFormat/>
    <w:rsid w:val="00b37563"/>
    <w:pPr>
      <w:spacing w:lineRule="auto" w:line="240" w:before="0" w:after="0"/>
    </w:pPr>
    <w:rPr>
      <w:rFonts w:ascii="Times New Roman" w:hAnsi="Times New Roman" w:eastAsia="Times New Roman" w:cs="Times New Roman"/>
      <w:sz w:val="24"/>
      <w:szCs w:val="20"/>
      <w:lang w:eastAsia="pt-BR"/>
    </w:rPr>
  </w:style>
  <w:style w:type="paragraph" w:styleId="Nivel2">
    <w:name w:val="Nivel 2"/>
    <w:basedOn w:val="Normal"/>
    <w:qFormat/>
    <w:pPr>
      <w:tabs>
        <w:tab w:val="clear" w:pos="708"/>
        <w:tab w:val="left" w:pos="0" w:leader="none"/>
      </w:tabs>
      <w:suppressAutoHyphens w:val="false"/>
      <w:overflowPunct w:val="true"/>
      <w:spacing w:lineRule="auto" w:line="276" w:before="120" w:after="120"/>
      <w:jc w:val="both"/>
      <w:textAlignment w:val="auto"/>
    </w:pPr>
    <w:rPr>
      <w:rFonts w:ascii="Arial" w:hAnsi="Arial" w:eastAsia="MS Mincho;ＭＳ 明朝" w:cs="Arial"/>
      <w:color w:val="000000"/>
    </w:rPr>
  </w:style>
  <w:style w:type="paragraph" w:styleId="Corpodetexto1">
    <w:name w:val="Corpo de texto1"/>
    <w:basedOn w:val="Normal"/>
    <w:qFormat/>
    <w:pPr>
      <w:spacing w:before="0" w:after="120"/>
    </w:pPr>
    <w:rPr/>
  </w:style>
  <w:style w:type="paragraph" w:styleId="PargrafodaLista">
    <w:name w:val="Parágrafo da Lista"/>
    <w:basedOn w:val="Normal"/>
    <w:qFormat/>
    <w:pPr>
      <w:spacing w:lineRule="auto" w:line="276" w:before="0" w:after="200"/>
      <w:ind w:hanging="0" w:left="720" w:right="0"/>
      <w:contextualSpacing/>
    </w:pPr>
    <w:rPr>
      <w:rFonts w:ascii="Calibri" w:hAnsi="Calibri" w:eastAsia="Calibri" w:cs="Calibri"/>
      <w:sz w:val="22"/>
      <w:szCs w:val="22"/>
    </w:rPr>
  </w:style>
  <w:style w:type="numbering" w:styleId="Semlista" w:default="1">
    <w:name w:val="Sem lista"/>
    <w:uiPriority w:val="99"/>
    <w:semiHidden/>
    <w:unhideWhenUsed/>
    <w:qFormat/>
  </w:style>
  <w:style w:type="numbering" w:styleId="WW8Num3">
    <w:name w:val="WW8Num3"/>
    <w:qFormat/>
  </w:style>
  <w:style w:type="numbering" w:styleId="WW8Num8">
    <w:name w:val="WW8Num8"/>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59"/>
    <w:rsid w:val="002a290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39"/>
    <w:rsid w:val="005a3a3e"/>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jpeg"/>
</Relationships>
</file>

<file path=word/_rels/header3.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Application>LibreOffice/24.2.6.2$Windows_X86_64 LibreOffice_project/ef66aa7e36a1bb8e65bfbc63aba53045a14d0871</Application>
  <AppVersion>15.0000</AppVersion>
  <Pages>13</Pages>
  <Words>5423</Words>
  <Characters>31053</Characters>
  <CharactersWithSpaces>36273</CharactersWithSpaces>
  <Paragraphs>237</Paragraphs>
  <Company>TCE-ES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2024-02-06T14:33:00Z</dcterms:created>
  <dc:creator>TCE-ES</dc:creator>
  <dc:description/>
  <dc:language>pt-BR</dc:language>
  <cp:lastModifiedBy/>
  <cp:lastPrinted>2024-09-26T17:45:00Z</cp:lastPrinted>
  <dcterms:modified xsi:type="dcterms:W3CDTF">2025-04-24T15:36:19Z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